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年深圳市南山区城市更新单元计划</w:t>
      </w:r>
      <w:r>
        <w:rPr>
          <w:rFonts w:hint="eastAsia" w:ascii="仿宋" w:hAnsi="仿宋" w:eastAsia="仿宋"/>
          <w:sz w:val="32"/>
          <w:szCs w:val="32"/>
          <w:lang w:eastAsia="zh-CN"/>
        </w:rPr>
        <w:t>第三批</w:t>
      </w:r>
      <w:r>
        <w:rPr>
          <w:rFonts w:hint="eastAsia" w:ascii="仿宋" w:hAnsi="仿宋" w:eastAsia="仿宋"/>
          <w:sz w:val="32"/>
          <w:szCs w:val="32"/>
        </w:rPr>
        <w:t>计划》一览表</w:t>
      </w:r>
    </w:p>
    <w:tbl>
      <w:tblPr>
        <w:tblStyle w:val="3"/>
        <w:tblW w:w="923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696"/>
        <w:gridCol w:w="684"/>
        <w:gridCol w:w="1248"/>
        <w:gridCol w:w="1236"/>
        <w:gridCol w:w="1344"/>
        <w:gridCol w:w="3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469" w:type="dxa"/>
            <w:vAlign w:val="center"/>
          </w:tcPr>
          <w:p>
            <w:pPr>
              <w:jc w:val="center"/>
              <w:outlineLvl w:val="0"/>
              <w:rPr>
                <w:rFonts w:ascii="仿宋" w:hAnsi="仿宋" w:eastAsia="仿宋"/>
                <w:b/>
                <w:color w:val="auto"/>
                <w:sz w:val="24"/>
                <w:szCs w:val="24"/>
              </w:rPr>
            </w:pPr>
            <w:r>
              <w:rPr>
                <w:rFonts w:ascii="Arial" w:hAnsi="Arial" w:eastAsia="宋体" w:cs="Arial"/>
                <w:b/>
                <w:color w:val="auto"/>
                <w:sz w:val="24"/>
                <w:szCs w:val="24"/>
              </w:rPr>
              <w:t>编号</w:t>
            </w:r>
          </w:p>
        </w:tc>
        <w:tc>
          <w:tcPr>
            <w:tcW w:w="696" w:type="dxa"/>
            <w:vAlign w:val="center"/>
          </w:tcPr>
          <w:p>
            <w:pPr>
              <w:jc w:val="center"/>
              <w:outlineLvl w:val="0"/>
              <w:rPr>
                <w:rFonts w:ascii="仿宋" w:hAnsi="仿宋" w:eastAsia="仿宋"/>
                <w:b/>
                <w:color w:val="auto"/>
                <w:sz w:val="24"/>
                <w:szCs w:val="24"/>
              </w:rPr>
            </w:pPr>
            <w:r>
              <w:rPr>
                <w:rFonts w:ascii="Arial" w:hAnsi="Arial" w:eastAsia="宋体" w:cs="Arial"/>
                <w:b/>
                <w:color w:val="auto"/>
                <w:sz w:val="24"/>
                <w:szCs w:val="24"/>
              </w:rPr>
              <w:t>辖区</w:t>
            </w:r>
          </w:p>
        </w:tc>
        <w:tc>
          <w:tcPr>
            <w:tcW w:w="684" w:type="dxa"/>
            <w:vAlign w:val="center"/>
          </w:tcPr>
          <w:p>
            <w:pPr>
              <w:jc w:val="center"/>
              <w:outlineLvl w:val="0"/>
              <w:rPr>
                <w:rFonts w:ascii="仿宋" w:hAnsi="仿宋" w:eastAsia="仿宋"/>
                <w:b/>
                <w:color w:val="auto"/>
                <w:sz w:val="24"/>
                <w:szCs w:val="24"/>
              </w:rPr>
            </w:pPr>
            <w:r>
              <w:rPr>
                <w:rFonts w:ascii="Arial" w:hAnsi="Arial" w:eastAsia="宋体" w:cs="Arial"/>
                <w:b/>
                <w:color w:val="auto"/>
                <w:sz w:val="24"/>
                <w:szCs w:val="24"/>
              </w:rPr>
              <w:t>街道</w:t>
            </w:r>
          </w:p>
        </w:tc>
        <w:tc>
          <w:tcPr>
            <w:tcW w:w="1248" w:type="dxa"/>
            <w:vAlign w:val="center"/>
          </w:tcPr>
          <w:p>
            <w:pPr>
              <w:jc w:val="center"/>
              <w:outlineLvl w:val="0"/>
              <w:rPr>
                <w:rFonts w:ascii="仿宋" w:hAnsi="仿宋" w:eastAsia="仿宋"/>
                <w:b/>
                <w:color w:val="auto"/>
                <w:sz w:val="24"/>
                <w:szCs w:val="24"/>
              </w:rPr>
            </w:pPr>
            <w:r>
              <w:rPr>
                <w:rFonts w:ascii="Arial" w:hAnsi="Arial" w:eastAsia="宋体" w:cs="Arial"/>
                <w:b/>
                <w:color w:val="auto"/>
                <w:sz w:val="24"/>
                <w:szCs w:val="24"/>
              </w:rPr>
              <w:t>单元名称</w:t>
            </w:r>
          </w:p>
        </w:tc>
        <w:tc>
          <w:tcPr>
            <w:tcW w:w="1236" w:type="dxa"/>
            <w:vAlign w:val="center"/>
          </w:tcPr>
          <w:p>
            <w:pPr>
              <w:jc w:val="center"/>
              <w:outlineLvl w:val="0"/>
              <w:rPr>
                <w:rFonts w:ascii="仿宋" w:hAnsi="仿宋" w:eastAsia="仿宋"/>
                <w:b/>
                <w:color w:val="auto"/>
                <w:sz w:val="24"/>
                <w:szCs w:val="24"/>
              </w:rPr>
            </w:pPr>
            <w:r>
              <w:rPr>
                <w:rFonts w:ascii="Arial" w:hAnsi="Arial" w:eastAsia="宋体" w:cs="Arial"/>
                <w:b/>
                <w:color w:val="auto"/>
                <w:sz w:val="24"/>
                <w:szCs w:val="24"/>
              </w:rPr>
              <w:t>申报主体</w:t>
            </w:r>
          </w:p>
        </w:tc>
        <w:tc>
          <w:tcPr>
            <w:tcW w:w="1344" w:type="dxa"/>
            <w:vAlign w:val="center"/>
          </w:tcPr>
          <w:p>
            <w:pPr>
              <w:jc w:val="center"/>
              <w:outlineLvl w:val="0"/>
              <w:rPr>
                <w:rFonts w:ascii="仿宋" w:hAnsi="仿宋" w:eastAsia="仿宋"/>
                <w:b/>
                <w:color w:val="auto"/>
                <w:sz w:val="24"/>
                <w:szCs w:val="24"/>
              </w:rPr>
            </w:pPr>
            <w:r>
              <w:rPr>
                <w:rFonts w:ascii="Arial" w:hAnsi="Arial" w:eastAsia="宋体" w:cs="Arial"/>
                <w:b/>
                <w:color w:val="auto"/>
                <w:sz w:val="24"/>
                <w:szCs w:val="24"/>
              </w:rPr>
              <w:t>拆除</w:t>
            </w:r>
            <w:r>
              <w:rPr>
                <w:rFonts w:hint="eastAsia" w:ascii="Arial" w:hAnsi="Arial" w:eastAsia="宋体" w:cs="Arial"/>
                <w:b/>
                <w:color w:val="auto"/>
                <w:sz w:val="24"/>
                <w:szCs w:val="24"/>
              </w:rPr>
              <w:t>范围</w:t>
            </w:r>
            <w:r>
              <w:rPr>
                <w:rFonts w:ascii="Arial" w:hAnsi="Arial" w:eastAsia="宋体" w:cs="Arial"/>
                <w:b/>
                <w:color w:val="auto"/>
                <w:sz w:val="24"/>
                <w:szCs w:val="24"/>
              </w:rPr>
              <w:t>用地面积（平方米）</w:t>
            </w:r>
          </w:p>
        </w:tc>
        <w:tc>
          <w:tcPr>
            <w:tcW w:w="3559" w:type="dxa"/>
            <w:vAlign w:val="center"/>
          </w:tcPr>
          <w:p>
            <w:pPr>
              <w:jc w:val="center"/>
              <w:outlineLvl w:val="0"/>
              <w:rPr>
                <w:rFonts w:ascii="仿宋" w:hAnsi="仿宋" w:eastAsia="仿宋"/>
                <w:b/>
                <w:color w:val="auto"/>
                <w:sz w:val="24"/>
                <w:szCs w:val="24"/>
              </w:rPr>
            </w:pPr>
            <w:r>
              <w:rPr>
                <w:rFonts w:ascii="Arial" w:hAnsi="Arial" w:eastAsia="宋体" w:cs="Arial"/>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3" w:hRule="atLeast"/>
        </w:trPr>
        <w:tc>
          <w:tcPr>
            <w:tcW w:w="469" w:type="dxa"/>
            <w:vAlign w:val="center"/>
          </w:tcPr>
          <w:p>
            <w:pPr>
              <w:jc w:val="center"/>
              <w:outlineLvl w:val="0"/>
              <w:rPr>
                <w:rFonts w:ascii="仿宋" w:hAnsi="仿宋" w:eastAsia="仿宋"/>
                <w:color w:val="auto"/>
                <w:sz w:val="24"/>
                <w:szCs w:val="24"/>
              </w:rPr>
            </w:pPr>
            <w:r>
              <w:rPr>
                <w:rFonts w:hint="eastAsia" w:ascii="仿宋" w:hAnsi="仿宋" w:eastAsia="仿宋"/>
                <w:sz w:val="24"/>
                <w:szCs w:val="24"/>
              </w:rPr>
              <w:t>1</w:t>
            </w:r>
          </w:p>
        </w:tc>
        <w:tc>
          <w:tcPr>
            <w:tcW w:w="696" w:type="dxa"/>
            <w:vAlign w:val="center"/>
          </w:tcPr>
          <w:p>
            <w:pPr>
              <w:jc w:val="center"/>
              <w:rPr>
                <w:rFonts w:ascii="仿宋" w:hAnsi="仿宋" w:eastAsia="仿宋"/>
                <w:color w:val="auto"/>
                <w:sz w:val="24"/>
                <w:szCs w:val="24"/>
              </w:rPr>
            </w:pPr>
            <w:r>
              <w:rPr>
                <w:rFonts w:hint="eastAsia" w:ascii="仿宋" w:hAnsi="仿宋" w:eastAsia="仿宋"/>
                <w:sz w:val="24"/>
                <w:szCs w:val="24"/>
                <w:lang w:eastAsia="zh-CN"/>
              </w:rPr>
              <w:t>前海合作区</w:t>
            </w:r>
          </w:p>
        </w:tc>
        <w:tc>
          <w:tcPr>
            <w:tcW w:w="684" w:type="dxa"/>
            <w:vAlign w:val="center"/>
          </w:tcPr>
          <w:p>
            <w:pPr>
              <w:jc w:val="center"/>
              <w:rPr>
                <w:rFonts w:ascii="仿宋" w:hAnsi="仿宋" w:eastAsia="仿宋"/>
                <w:color w:val="auto"/>
                <w:sz w:val="24"/>
                <w:szCs w:val="24"/>
              </w:rPr>
            </w:pPr>
            <w:r>
              <w:rPr>
                <w:rFonts w:hint="eastAsia" w:ascii="仿宋" w:hAnsi="仿宋" w:eastAsia="仿宋"/>
                <w:sz w:val="24"/>
                <w:szCs w:val="24"/>
                <w:lang w:val="en-US" w:eastAsia="zh-CN"/>
              </w:rPr>
              <w:t>--</w:t>
            </w:r>
          </w:p>
        </w:tc>
        <w:tc>
          <w:tcPr>
            <w:tcW w:w="1248" w:type="dxa"/>
            <w:vAlign w:val="center"/>
          </w:tcPr>
          <w:p>
            <w:pPr>
              <w:jc w:val="center"/>
              <w:rPr>
                <w:rFonts w:ascii="仿宋" w:hAnsi="仿宋" w:eastAsia="仿宋"/>
                <w:color w:val="auto"/>
                <w:sz w:val="24"/>
                <w:szCs w:val="24"/>
              </w:rPr>
            </w:pPr>
            <w:r>
              <w:rPr>
                <w:rFonts w:hint="eastAsia" w:ascii="仿宋" w:hAnsi="仿宋" w:eastAsia="仿宋"/>
                <w:sz w:val="24"/>
                <w:szCs w:val="24"/>
              </w:rPr>
              <w:t>十九开发单元越海地块城市更新单元</w:t>
            </w:r>
          </w:p>
        </w:tc>
        <w:tc>
          <w:tcPr>
            <w:tcW w:w="1236" w:type="dxa"/>
            <w:vAlign w:val="center"/>
          </w:tcPr>
          <w:p>
            <w:pPr>
              <w:jc w:val="center"/>
              <w:rPr>
                <w:rFonts w:ascii="仿宋" w:hAnsi="仿宋" w:eastAsia="仿宋"/>
                <w:color w:val="auto"/>
                <w:sz w:val="24"/>
                <w:szCs w:val="24"/>
              </w:rPr>
            </w:pPr>
            <w:r>
              <w:rPr>
                <w:rFonts w:hint="eastAsia" w:ascii="仿宋" w:hAnsi="仿宋" w:eastAsia="仿宋"/>
                <w:sz w:val="24"/>
                <w:szCs w:val="24"/>
              </w:rPr>
              <w:t>深圳市越海全球物流有限公司</w:t>
            </w:r>
          </w:p>
        </w:tc>
        <w:tc>
          <w:tcPr>
            <w:tcW w:w="1344" w:type="dxa"/>
            <w:vAlign w:val="center"/>
          </w:tcPr>
          <w:p>
            <w:pPr>
              <w:jc w:val="center"/>
              <w:rPr>
                <w:rFonts w:ascii="仿宋" w:hAnsi="仿宋" w:eastAsia="仿宋"/>
                <w:color w:val="auto"/>
                <w:sz w:val="24"/>
                <w:szCs w:val="24"/>
              </w:rPr>
            </w:pPr>
            <w:r>
              <w:rPr>
                <w:rFonts w:hint="eastAsia" w:ascii="仿宋" w:hAnsi="仿宋" w:eastAsia="仿宋"/>
                <w:sz w:val="24"/>
                <w:szCs w:val="24"/>
                <w:lang w:val="en-US" w:eastAsia="zh-CN"/>
              </w:rPr>
              <w:t>8982</w:t>
            </w:r>
          </w:p>
        </w:tc>
        <w:tc>
          <w:tcPr>
            <w:tcW w:w="3559" w:type="dxa"/>
            <w:vAlign w:val="center"/>
          </w:tcPr>
          <w:p>
            <w:pPr>
              <w:pStyle w:val="5"/>
              <w:numPr>
                <w:ilvl w:val="0"/>
                <w:numId w:val="1"/>
              </w:numPr>
              <w:ind w:left="360" w:leftChars="0" w:hanging="360" w:firstLineChars="0"/>
              <w:jc w:val="both"/>
              <w:rPr>
                <w:rFonts w:hint="eastAsia" w:ascii="仿宋" w:hAnsi="仿宋" w:eastAsia="仿宋"/>
                <w:sz w:val="24"/>
              </w:rPr>
            </w:pPr>
            <w:r>
              <w:rPr>
                <w:rFonts w:hint="eastAsia" w:ascii="仿宋" w:hAnsi="仿宋" w:eastAsia="仿宋"/>
                <w:sz w:val="24"/>
              </w:rPr>
              <w:t>拟更新方向</w:t>
            </w:r>
            <w:r>
              <w:rPr>
                <w:rFonts w:hint="eastAsia" w:ascii="仿宋" w:hAnsi="仿宋" w:eastAsia="仿宋"/>
                <w:sz w:val="24"/>
                <w:lang w:eastAsia="zh-CN"/>
              </w:rPr>
              <w:t>为</w:t>
            </w:r>
            <w:r>
              <w:rPr>
                <w:rFonts w:hint="eastAsia" w:ascii="仿宋" w:hAnsi="仿宋" w:eastAsia="仿宋"/>
                <w:sz w:val="24"/>
              </w:rPr>
              <w:t>综合发展用地1（以商业用途为主）等功能；</w:t>
            </w:r>
          </w:p>
          <w:p>
            <w:pPr>
              <w:pStyle w:val="5"/>
              <w:numPr>
                <w:ilvl w:val="0"/>
                <w:numId w:val="1"/>
              </w:numPr>
              <w:ind w:left="360" w:leftChars="0" w:hanging="360" w:firstLineChars="0"/>
              <w:jc w:val="both"/>
              <w:rPr>
                <w:rFonts w:ascii="仿宋" w:hAnsi="仿宋" w:eastAsia="仿宋"/>
                <w:color w:val="auto"/>
                <w:sz w:val="24"/>
                <w:szCs w:val="24"/>
              </w:rPr>
            </w:pPr>
            <w:r>
              <w:rPr>
                <w:rFonts w:hint="eastAsia" w:ascii="仿宋" w:hAnsi="仿宋" w:eastAsia="仿宋"/>
                <w:sz w:val="24"/>
              </w:rPr>
              <w:t>拆除重建用地范围内应落实不</w:t>
            </w:r>
            <w:r>
              <w:rPr>
                <w:rFonts w:hint="eastAsia" w:ascii="仿宋" w:hAnsi="仿宋" w:eastAsia="仿宋"/>
                <w:sz w:val="24"/>
                <w:lang w:eastAsia="zh-CN"/>
              </w:rPr>
              <w:t>少于2695平方米用地用于建设城市基础设施、公共服务设施或城市公共利益项目。上述用地除落实规划要求外，其余部分可协议出让给项目实施主体按照规划进行建设。</w:t>
            </w:r>
          </w:p>
          <w:p>
            <w:pPr>
              <w:pStyle w:val="5"/>
              <w:numPr>
                <w:ilvl w:val="0"/>
                <w:numId w:val="1"/>
              </w:numPr>
              <w:ind w:left="360" w:leftChars="0" w:hanging="360" w:firstLineChars="0"/>
              <w:jc w:val="both"/>
              <w:rPr>
                <w:rFonts w:ascii="仿宋" w:hAnsi="仿宋" w:eastAsia="仿宋"/>
                <w:color w:val="auto"/>
                <w:sz w:val="24"/>
                <w:szCs w:val="24"/>
              </w:rPr>
            </w:pPr>
            <w:r>
              <w:rPr>
                <w:rFonts w:hint="eastAsia" w:ascii="仿宋" w:hAnsi="仿宋" w:eastAsia="仿宋"/>
                <w:color w:val="auto"/>
                <w:sz w:val="24"/>
                <w:szCs w:val="24"/>
              </w:rPr>
              <w:t>更新单元计划有效期2年，</w:t>
            </w:r>
            <w:r>
              <w:rPr>
                <w:rFonts w:hint="eastAsia" w:ascii="仿宋" w:hAnsi="仿宋" w:eastAsia="仿宋"/>
                <w:color w:val="auto"/>
                <w:sz w:val="24"/>
                <w:szCs w:val="24"/>
                <w:lang w:eastAsia="zh-CN"/>
              </w:rPr>
              <w:t>自20</w:t>
            </w:r>
            <w:r>
              <w:rPr>
                <w:rFonts w:hint="eastAsia" w:ascii="仿宋" w:hAnsi="仿宋" w:eastAsia="仿宋"/>
                <w:color w:val="auto"/>
                <w:sz w:val="24"/>
                <w:szCs w:val="24"/>
                <w:lang w:val="en-US" w:eastAsia="zh-CN"/>
              </w:rPr>
              <w:t>20</w:t>
            </w:r>
            <w:r>
              <w:rPr>
                <w:rFonts w:hint="eastAsia" w:ascii="仿宋" w:hAnsi="仿宋" w:eastAsia="仿宋"/>
                <w:color w:val="auto"/>
                <w:sz w:val="24"/>
                <w:szCs w:val="24"/>
                <w:lang w:eastAsia="zh-CN"/>
              </w:rPr>
              <w:t>年</w:t>
            </w:r>
            <w:r>
              <w:rPr>
                <w:rFonts w:hint="eastAsia" w:ascii="仿宋" w:hAnsi="仿宋" w:eastAsia="仿宋"/>
                <w:color w:val="auto"/>
                <w:sz w:val="24"/>
                <w:szCs w:val="24"/>
                <w:lang w:val="en-US" w:eastAsia="zh-CN"/>
              </w:rPr>
              <w:t>6</w:t>
            </w:r>
            <w:r>
              <w:rPr>
                <w:rFonts w:hint="eastAsia" w:ascii="仿宋" w:hAnsi="仿宋" w:eastAsia="仿宋"/>
                <w:color w:val="auto"/>
                <w:sz w:val="24"/>
                <w:szCs w:val="24"/>
                <w:lang w:eastAsia="zh-CN"/>
              </w:rPr>
              <w:t>月</w:t>
            </w:r>
            <w:r>
              <w:rPr>
                <w:rFonts w:hint="eastAsia" w:ascii="仿宋" w:hAnsi="仿宋" w:eastAsia="仿宋"/>
                <w:color w:val="auto"/>
                <w:sz w:val="24"/>
                <w:szCs w:val="24"/>
                <w:lang w:val="en-US" w:eastAsia="zh-CN"/>
              </w:rPr>
              <w:t>12</w:t>
            </w:r>
            <w:r>
              <w:rPr>
                <w:rFonts w:hint="eastAsia" w:ascii="仿宋" w:hAnsi="仿宋" w:eastAsia="仿宋"/>
                <w:color w:val="auto"/>
                <w:sz w:val="24"/>
                <w:szCs w:val="24"/>
                <w:lang w:eastAsia="zh-CN"/>
              </w:rPr>
              <w:t>日起至20</w:t>
            </w:r>
            <w:r>
              <w:rPr>
                <w:rFonts w:hint="eastAsia" w:ascii="仿宋" w:hAnsi="仿宋" w:eastAsia="仿宋"/>
                <w:color w:val="auto"/>
                <w:sz w:val="24"/>
                <w:szCs w:val="24"/>
                <w:lang w:val="en-US" w:eastAsia="zh-CN"/>
              </w:rPr>
              <w:t>22</w:t>
            </w:r>
            <w:r>
              <w:rPr>
                <w:rFonts w:hint="eastAsia" w:ascii="仿宋" w:hAnsi="仿宋" w:eastAsia="仿宋"/>
                <w:color w:val="auto"/>
                <w:sz w:val="24"/>
                <w:szCs w:val="24"/>
                <w:lang w:eastAsia="zh-CN"/>
              </w:rPr>
              <w:t>年</w:t>
            </w:r>
            <w:r>
              <w:rPr>
                <w:rFonts w:hint="eastAsia" w:ascii="仿宋" w:hAnsi="仿宋" w:eastAsia="仿宋"/>
                <w:color w:val="auto"/>
                <w:sz w:val="24"/>
                <w:szCs w:val="24"/>
                <w:lang w:val="en-US" w:eastAsia="zh-CN"/>
              </w:rPr>
              <w:t>6</w:t>
            </w:r>
            <w:r>
              <w:rPr>
                <w:rFonts w:hint="eastAsia" w:ascii="仿宋" w:hAnsi="仿宋" w:eastAsia="仿宋"/>
                <w:color w:val="auto"/>
                <w:sz w:val="24"/>
                <w:szCs w:val="24"/>
                <w:lang w:eastAsia="zh-CN"/>
              </w:rPr>
              <w:t>月</w:t>
            </w:r>
            <w:r>
              <w:rPr>
                <w:rFonts w:hint="eastAsia" w:ascii="仿宋" w:hAnsi="仿宋" w:eastAsia="仿宋"/>
                <w:color w:val="auto"/>
                <w:sz w:val="24"/>
                <w:szCs w:val="24"/>
                <w:lang w:val="en-US" w:eastAsia="zh-CN"/>
              </w:rPr>
              <w:t>11</w:t>
            </w:r>
            <w:r>
              <w:rPr>
                <w:rFonts w:hint="eastAsia" w:ascii="仿宋" w:hAnsi="仿宋" w:eastAsia="仿宋"/>
                <w:color w:val="auto"/>
                <w:sz w:val="24"/>
                <w:szCs w:val="24"/>
                <w:lang w:eastAsia="zh-CN"/>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6" w:type="dxa"/>
            <w:gridSpan w:val="7"/>
          </w:tcPr>
          <w:p>
            <w:pPr>
              <w:outlineLvl w:val="0"/>
              <w:rPr>
                <w:rFonts w:ascii="仿宋" w:hAnsi="仿宋" w:eastAsia="仿宋"/>
                <w:color w:val="auto"/>
                <w:sz w:val="24"/>
                <w:szCs w:val="24"/>
              </w:rPr>
            </w:pPr>
            <w:r>
              <w:rPr>
                <w:rFonts w:hint="eastAsia" w:ascii="仿宋" w:hAnsi="仿宋" w:eastAsia="仿宋"/>
                <w:color w:val="auto"/>
                <w:sz w:val="24"/>
                <w:szCs w:val="24"/>
              </w:rPr>
              <w:t xml:space="preserve">特别提示： </w:t>
            </w:r>
          </w:p>
          <w:p>
            <w:pPr>
              <w:outlineLvl w:val="0"/>
              <w:rPr>
                <w:rFonts w:ascii="仿宋" w:hAnsi="仿宋" w:eastAsia="仿宋"/>
                <w:color w:val="auto"/>
                <w:sz w:val="24"/>
                <w:szCs w:val="24"/>
              </w:rPr>
            </w:pPr>
            <w:r>
              <w:rPr>
                <w:rFonts w:ascii="仿宋" w:hAnsi="仿宋" w:eastAsia="仿宋"/>
                <w:color w:val="auto"/>
                <w:sz w:val="24"/>
                <w:szCs w:val="24"/>
              </w:rPr>
              <w:t>1.</w:t>
            </w:r>
            <w:r>
              <w:rPr>
                <w:rFonts w:hint="eastAsia" w:ascii="仿宋" w:hAnsi="仿宋" w:eastAsia="仿宋"/>
                <w:color w:val="auto"/>
                <w:sz w:val="24"/>
                <w:szCs w:val="24"/>
              </w:rPr>
              <w:t>本表所列的城市更新单元须按照城市更新相关政策完成城市更新单元规划编制及项目实施主体确认等工作后方可实施开发建设。</w:t>
            </w:r>
          </w:p>
          <w:p>
            <w:pPr>
              <w:outlineLvl w:val="0"/>
              <w:rPr>
                <w:rFonts w:ascii="仿宋" w:hAnsi="仿宋" w:eastAsia="仿宋"/>
                <w:color w:val="auto"/>
                <w:sz w:val="24"/>
                <w:szCs w:val="24"/>
              </w:rPr>
            </w:pPr>
            <w:r>
              <w:rPr>
                <w:rFonts w:ascii="仿宋" w:hAnsi="仿宋" w:eastAsia="仿宋"/>
                <w:color w:val="auto"/>
                <w:sz w:val="24"/>
                <w:szCs w:val="24"/>
              </w:rPr>
              <w:t>2.</w:t>
            </w:r>
            <w:r>
              <w:rPr>
                <w:rFonts w:hint="eastAsia" w:ascii="仿宋" w:hAnsi="仿宋" w:eastAsia="仿宋"/>
                <w:color w:val="auto"/>
                <w:sz w:val="24"/>
                <w:szCs w:val="24"/>
              </w:rPr>
              <w:t>本表所列“申报主体”仅为城市更新单元计划的申报主体，项目实施主体须依据城市更新政策规定的条件及程序进行确认后产生。</w:t>
            </w:r>
          </w:p>
          <w:p>
            <w:pPr>
              <w:outlineLvl w:val="0"/>
              <w:rPr>
                <w:rFonts w:ascii="仿宋" w:hAnsi="仿宋" w:eastAsia="仿宋"/>
                <w:color w:val="auto"/>
                <w:sz w:val="24"/>
                <w:szCs w:val="24"/>
              </w:rPr>
            </w:pPr>
            <w:r>
              <w:rPr>
                <w:rFonts w:ascii="仿宋" w:hAnsi="仿宋" w:eastAsia="仿宋"/>
                <w:color w:val="auto"/>
                <w:sz w:val="24"/>
                <w:szCs w:val="24"/>
              </w:rPr>
              <w:t xml:space="preserve">3. </w:t>
            </w:r>
            <w:r>
              <w:rPr>
                <w:rFonts w:hint="eastAsia" w:ascii="仿宋" w:hAnsi="仿宋" w:eastAsia="仿宋"/>
                <w:color w:val="auto"/>
                <w:sz w:val="24"/>
                <w:szCs w:val="24"/>
              </w:rPr>
              <w:t>在本表所列的计划有效期内，更新单元规划未获市政府或其授权机构批准的，更新单元计划失效。</w:t>
            </w:r>
          </w:p>
          <w:p>
            <w:pPr>
              <w:outlineLvl w:val="0"/>
              <w:rPr>
                <w:rFonts w:ascii="仿宋" w:hAnsi="仿宋" w:eastAsia="仿宋"/>
                <w:color w:val="auto"/>
                <w:sz w:val="24"/>
                <w:szCs w:val="24"/>
              </w:rPr>
            </w:pPr>
            <w:r>
              <w:rPr>
                <w:rFonts w:ascii="仿宋" w:hAnsi="仿宋" w:eastAsia="仿宋"/>
                <w:color w:val="auto"/>
                <w:sz w:val="24"/>
                <w:szCs w:val="24"/>
              </w:rPr>
              <w:t xml:space="preserve">4. </w:t>
            </w:r>
            <w:r>
              <w:rPr>
                <w:rFonts w:hint="eastAsia" w:ascii="仿宋" w:hAnsi="仿宋" w:eastAsia="仿宋"/>
                <w:color w:val="auto"/>
                <w:sz w:val="24"/>
                <w:szCs w:val="24"/>
              </w:rPr>
              <w:t>本表所列城市更新单元的规划建设要求在城市更新单元规划审批过程中予以确定，除满足本表所列要求外，还应满足法定图则等上层次规划关于交通、市政、公共配套设施的建设要求和城市更新政策中公共利益项目等用地的移交要求。</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7DABC"/>
    <w:multiLevelType w:val="multilevel"/>
    <w:tmpl w:val="EEC7DABC"/>
    <w:lvl w:ilvl="0" w:tentative="0">
      <w:start w:val="1"/>
      <w:numFmt w:val="decimalEnclosedCircle"/>
      <w:lvlText w:val="%1"/>
      <w:lvlJc w:val="left"/>
      <w:pPr>
        <w:ind w:left="360" w:hanging="36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823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2020-06-11T09:27:05Z</dcterms:created>
  <dc:creator>Administrator</dc:creator>
  <cp:lastModifiedBy>99999</cp:lastModifiedBy>
  <dcterms:modified xsi:type="dcterms:W3CDTF">2020-06-11T09:27:07Z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