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A8" w:rsidRDefault="005D62A8" w:rsidP="007E10E3">
      <w:pPr>
        <w:spacing w:line="520" w:lineRule="exact"/>
        <w:jc w:val="center"/>
        <w:rPr>
          <w:rFonts w:ascii="微软雅黑" w:eastAsia="微软雅黑" w:hAnsi="微软雅黑"/>
          <w:b/>
          <w:sz w:val="24"/>
        </w:rPr>
      </w:pPr>
      <w:r>
        <w:rPr>
          <w:rFonts w:ascii="微软雅黑" w:eastAsia="微软雅黑" w:hAnsi="微软雅黑" w:hint="eastAsia"/>
          <w:b/>
          <w:sz w:val="24"/>
        </w:rPr>
        <w:t>（三）旧屋村认定</w:t>
      </w:r>
    </w:p>
    <w:p w:rsidR="005D62A8" w:rsidRDefault="005D62A8" w:rsidP="007E10E3">
      <w:pPr>
        <w:spacing w:line="520" w:lineRule="exact"/>
        <w:jc w:val="center"/>
        <w:rPr>
          <w:rFonts w:ascii="微软雅黑" w:eastAsia="微软雅黑" w:hAnsi="微软雅黑"/>
          <w:b/>
          <w:sz w:val="24"/>
        </w:rPr>
      </w:pPr>
    </w:p>
    <w:p w:rsidR="007E10E3" w:rsidRPr="00640FF8" w:rsidRDefault="007E10E3" w:rsidP="007E10E3">
      <w:pPr>
        <w:spacing w:line="520" w:lineRule="exact"/>
        <w:jc w:val="center"/>
        <w:rPr>
          <w:rFonts w:ascii="微软雅黑" w:eastAsia="微软雅黑" w:hAnsi="微软雅黑"/>
          <w:b/>
          <w:sz w:val="24"/>
        </w:rPr>
      </w:pPr>
      <w:r w:rsidRPr="00640FF8">
        <w:rPr>
          <w:rFonts w:ascii="微软雅黑" w:eastAsia="微软雅黑" w:hAnsi="微软雅黑" w:hint="eastAsia"/>
          <w:b/>
          <w:sz w:val="24"/>
        </w:rPr>
        <w:t>深圳市拆除重建类城市更新单元旧屋村范围认定办法（修订稿）</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为加快推进我市城市更新工作，进一步规范旧屋村范围的认定标准和程序，根据市政府相关规定，制定本办法。</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本办法所称旧屋村，是指原特区内在《关于深圳经济特区农村城市化的暂行规定》（1992年6月18日发布并实施）实施前、原特区外在市政府《关于发布&lt;深圳市宝安、龙岗区规划国土管理暂行办法&gt;的通知》（深府[1993]283号）实施前（以下简称“《规定》或《通知》实施前”）正在建设或已经形成（以下简称为“已经建设”）、且现状仍为原农村旧（祖）屋的集中分布区域。</w:t>
      </w:r>
    </w:p>
    <w:p w:rsidR="007E10E3" w:rsidRPr="00640FF8" w:rsidRDefault="007E10E3" w:rsidP="007E10E3">
      <w:pPr>
        <w:spacing w:line="520" w:lineRule="exact"/>
        <w:ind w:firstLineChars="200" w:firstLine="400"/>
        <w:rPr>
          <w:rFonts w:ascii="微软雅黑" w:eastAsia="微软雅黑" w:hAnsi="微软雅黑"/>
          <w:b/>
          <w:sz w:val="20"/>
          <w:szCs w:val="20"/>
        </w:rPr>
      </w:pPr>
      <w:r w:rsidRPr="00640FF8">
        <w:rPr>
          <w:rFonts w:ascii="微软雅黑" w:eastAsia="微软雅黑" w:hAnsi="微软雅黑" w:hint="eastAsia"/>
          <w:b/>
          <w:sz w:val="20"/>
          <w:szCs w:val="20"/>
        </w:rPr>
        <w:t>符合下列情形之一的土地、建（构）筑物、公共服务设施，可以纳入旧屋村范围：</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（一）《规定》或《通知》实施前已经建设的旧（祖）屋，因年久失修等原因坍塌或废弃但墙基尚存的；</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（二）《规定》或《通知》实施前已经建设的旧（祖）屋，实施后进行重建、加建、改建、扩建后不涉及扩大建筑基底范围，且重建、加建、改建、扩建后总建筑面积不超过480平方米的；</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三）《规定》或《通知》实施前已经建设的为旧屋村生活服务的教育（幼儿园、托儿所、村小学等）、医疗卫生（卫生所、公厕等）、交通（村道、街巷、胡同等）、民俗活动（礼堂、祠堂等）、行政管理与社区服务（居委会、农贸市场等）等公共服务设施，《规定》或《通知》实施后仍用于公共服务功能的；</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（四）《规定》或《通知》实施前已经建设的风水塘、球场、活动广场、晒谷场等公共空间及其他零散用地，可以纳入旧屋村范围，原则上总量不得超过旧屋村范围总用地面积的10%且总面积不得大于3000平方米；</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（五）按照《深圳经济特区处理历史遗留违法私房若干规定》（市人大常委会第33号，2002年3月1日起施行）等规定已办理房产证的私房，《规定》或《通知》实施前已经建设的。</w:t>
      </w:r>
    </w:p>
    <w:p w:rsidR="007E10E3" w:rsidRPr="00640FF8" w:rsidRDefault="007E10E3" w:rsidP="007E10E3">
      <w:pPr>
        <w:spacing w:line="520" w:lineRule="exact"/>
        <w:ind w:firstLineChars="200" w:firstLine="400"/>
        <w:rPr>
          <w:rFonts w:ascii="微软雅黑" w:eastAsia="微软雅黑" w:hAnsi="微软雅黑"/>
          <w:b/>
          <w:sz w:val="20"/>
          <w:szCs w:val="20"/>
        </w:rPr>
      </w:pPr>
      <w:r w:rsidRPr="00640FF8">
        <w:rPr>
          <w:rFonts w:ascii="微软雅黑" w:eastAsia="微软雅黑" w:hAnsi="微软雅黑" w:hint="eastAsia"/>
          <w:b/>
          <w:sz w:val="20"/>
          <w:szCs w:val="20"/>
        </w:rPr>
        <w:t>具有下列情形之一的土地、建（构）筑物、配套设施不得纳入旧屋村范围：</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（一）厂房及其它生产经营性用房；</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（二）《规定》或《通知》实施前已经建设的旧（祖）屋，实施后进行重建、加建、改建、扩建，导致扩大建筑基底范围或建筑面积超过480平方米的，以及《规定》或《通知》实施后空地上新建设的私房；</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（三）《规定》或《通知》实施前已经建设的公共服务设施，实施后进行重建、加建、改建、扩建后不再用于公共服务功能的，以及《规定》或《通知》实施后空地上新建设的各类公共服务设施；</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lastRenderedPageBreak/>
        <w:t>（四）除本办法第三条第五款规定的情形外，已出让、已纳入国有土地储备的国有土地及其地上建（构）筑物，以及原特区内已完成土地及地上建（构）筑</w:t>
      </w:r>
      <w:proofErr w:type="gramStart"/>
      <w:r w:rsidRPr="00640FF8">
        <w:rPr>
          <w:rFonts w:ascii="微软雅黑" w:eastAsia="微软雅黑" w:hAnsi="微软雅黑" w:hint="eastAsia"/>
          <w:sz w:val="20"/>
          <w:szCs w:val="20"/>
        </w:rPr>
        <w:t>物征转</w:t>
      </w:r>
      <w:proofErr w:type="gramEnd"/>
      <w:r w:rsidRPr="00640FF8">
        <w:rPr>
          <w:rFonts w:ascii="微软雅黑" w:eastAsia="微软雅黑" w:hAnsi="微软雅黑" w:hint="eastAsia"/>
          <w:sz w:val="20"/>
          <w:szCs w:val="20"/>
        </w:rPr>
        <w:t>及补偿手续的、原特区外已征转的国有土地。</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旧屋村范围的边界可按照以下原则结合实际情况予以确定：旧（祖）屋、私房、公共服务设施等建（构）筑物可以围墙、庭院、地基线、地籍测量的界址线、与周边建筑间距中线等确定边界，公共空间可以道路、河流、边坡、沟渠、围墙、建筑等边线确定边界，根据上述原则结合实际建设、地形等情况综合确定具体边界；</w:t>
      </w:r>
    </w:p>
    <w:p w:rsidR="007E10E3" w:rsidRPr="00640FF8" w:rsidRDefault="007E10E3" w:rsidP="007E10E3">
      <w:pPr>
        <w:spacing w:line="520" w:lineRule="exact"/>
        <w:ind w:firstLineChars="200" w:firstLine="400"/>
        <w:rPr>
          <w:rFonts w:ascii="微软雅黑" w:eastAsia="微软雅黑" w:hAnsi="微软雅黑"/>
          <w:b/>
          <w:sz w:val="20"/>
          <w:szCs w:val="20"/>
        </w:rPr>
      </w:pPr>
      <w:r w:rsidRPr="00640FF8">
        <w:rPr>
          <w:rFonts w:ascii="微软雅黑" w:eastAsia="微软雅黑" w:hAnsi="微软雅黑" w:hint="eastAsia"/>
          <w:b/>
          <w:sz w:val="20"/>
          <w:szCs w:val="20"/>
        </w:rPr>
        <w:t>旧屋村范围的认定按照以下程序进行：</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一）在城市更新单元计划申报前，原农村集体经济组织继受单位或计划拟申报单位向所在区城市更新机构提出旧屋村范围初步核查的申请，各区更新机构出具初步核查意见；待列入城市更新单元计划后，计划申报单位向所在区城市更新机构提出旧屋村范围认定的申请。</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（二）原农村集体经济组织继受单位或计划（拟）申报单位向所在区城市更新机构提出旧屋村范围初步核查与认定的申请时，应提交以下材料：</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1.原农村集体经济组织继受单位（股份合作公司）的书面申请书。申请书应说明旧屋村的占地面积、建成时间、使用情况、居住人口、相关私房的产权登记情况、有无《规定》或《通知》实施后建设的私房等有关情况。</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2.按规定制作的旧屋村范围报审图。</w:t>
      </w:r>
      <w:proofErr w:type="gramStart"/>
      <w:r w:rsidRPr="00640FF8">
        <w:rPr>
          <w:rFonts w:ascii="微软雅黑" w:eastAsia="微软雅黑" w:hAnsi="微软雅黑" w:hint="eastAsia"/>
          <w:sz w:val="20"/>
          <w:szCs w:val="20"/>
        </w:rPr>
        <w:t>报审图</w:t>
      </w:r>
      <w:proofErr w:type="gramEnd"/>
      <w:r w:rsidRPr="00640FF8">
        <w:rPr>
          <w:rFonts w:ascii="微软雅黑" w:eastAsia="微软雅黑" w:hAnsi="微软雅黑" w:hint="eastAsia"/>
          <w:sz w:val="20"/>
          <w:szCs w:val="20"/>
        </w:rPr>
        <w:t>应在现状实测地形图上制作，标注旧屋村的区位、范围、面积、坐标并附相关电子文件。</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《规定》或《通知》实施前已经建设、实施后进行重建、加建、改建、扩建的旧（祖）屋，拟纳入旧屋村范围的，应提供建筑物现状测绘报告。建筑物现状测绘报告由具有测绘资质的单位提供。</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具体的旧屋村范围应以《规定》或《通知》实施前市规划国土部门委托的具有测绘资质的单位提供的实测地形图或航空影像图等测绘成果为依据提出。《规定》或《通知》实施前没有上述测绘成果的，可参照《规定》或《通知》实施后最早的测绘成果提出范围。</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3.街道办对旧屋村范围</w:t>
      </w:r>
      <w:proofErr w:type="gramStart"/>
      <w:r w:rsidRPr="00640FF8">
        <w:rPr>
          <w:rFonts w:ascii="微软雅黑" w:eastAsia="微软雅黑" w:hAnsi="微软雅黑" w:hint="eastAsia"/>
          <w:sz w:val="20"/>
          <w:szCs w:val="20"/>
        </w:rPr>
        <w:t>报审图</w:t>
      </w:r>
      <w:proofErr w:type="gramEnd"/>
      <w:r w:rsidRPr="00640FF8">
        <w:rPr>
          <w:rFonts w:ascii="微软雅黑" w:eastAsia="微软雅黑" w:hAnsi="微软雅黑" w:hint="eastAsia"/>
          <w:sz w:val="20"/>
          <w:szCs w:val="20"/>
        </w:rPr>
        <w:t>的书面意见。其中，按照《深圳经济特区处理历史遗留违法私房若干规定》等规定已办理房产证的私房须纳入旧屋村范围的，房产证上注明的竣工日期与测绘成果不一致的，以测绘成果为准。</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4.区城市更新机构要求提交的其他材料。</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（三）区城市更新机构对旧屋村范围内的规划情况（包括紫线规划情况）、</w:t>
      </w:r>
      <w:proofErr w:type="gramStart"/>
      <w:r w:rsidRPr="00640FF8">
        <w:rPr>
          <w:rFonts w:ascii="微软雅黑" w:eastAsia="微软雅黑" w:hAnsi="微软雅黑" w:hint="eastAsia"/>
          <w:sz w:val="20"/>
          <w:szCs w:val="20"/>
        </w:rPr>
        <w:t>征转地</w:t>
      </w:r>
      <w:proofErr w:type="gramEnd"/>
      <w:r w:rsidRPr="00640FF8">
        <w:rPr>
          <w:rFonts w:ascii="微软雅黑" w:eastAsia="微软雅黑" w:hAnsi="微软雅黑" w:hint="eastAsia"/>
          <w:sz w:val="20"/>
          <w:szCs w:val="20"/>
        </w:rPr>
        <w:t>情况、核发建设用地批</w:t>
      </w:r>
      <w:r w:rsidRPr="00640FF8">
        <w:rPr>
          <w:rFonts w:ascii="微软雅黑" w:eastAsia="微软雅黑" w:hAnsi="微软雅黑" w:hint="eastAsia"/>
          <w:sz w:val="20"/>
          <w:szCs w:val="20"/>
        </w:rPr>
        <w:lastRenderedPageBreak/>
        <w:t>复情况、土地使用权出让与产权登记情况及相关测绘成果是否符合要求进行核查，对旧屋村范围进行初步认定，认定成果征求文物保护部门的书面意见并进行处理后组织公示。公示应醒目，地点及方式包括但不限于旧屋村现场、旧屋村所在街道办、区更新机构部门网站。公示时间不少于七个自然日。</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（四）区城市更新机构对公示期间收集的意见进行处理，对旧屋村范围进行认定并核发旧屋村范围图。</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旧屋村范围图应在现状实测地形图上制作并标明以下内容：名称（XX旧屋村范围图）、编号、旧屋村范围面积、范围坐标、核发日期、核发机关等。</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旧屋村范围内有不可移动文物、规划城市支路以上（含城市支路）市政道路、小区级以上公共服务配套设施和生态控制线的，应予以标注。</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旧屋村范围图还应对其用途与效力进行说明：“本范围图属对旧屋村范围的认定，仅作为拆除重建类城市更新项目地价计收的依据。如旧屋村所属的城市更新项目不再实施，本范围图不作为土地及建筑物权属的认定依据，不影响城市规划的实施。”</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旧屋村范围认定材料的提供者应保证相关材料的真实性，对因提供虚假材料导致的后果承担一切责任。</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相关主管部门及其工作人员在旧屋村范围认定工作中有违法违纪违规行为，构成犯罪的，依法追究刑事责任；不构成犯罪的，依法给予行政处分或问责。</w:t>
      </w:r>
    </w:p>
    <w:p w:rsidR="007E10E3" w:rsidRPr="00640FF8" w:rsidRDefault="007E10E3" w:rsidP="007E10E3">
      <w:pPr>
        <w:spacing w:line="520" w:lineRule="exact"/>
        <w:ind w:firstLineChars="200" w:firstLine="400"/>
        <w:rPr>
          <w:rFonts w:ascii="微软雅黑" w:eastAsia="微软雅黑" w:hAnsi="微软雅黑"/>
          <w:sz w:val="20"/>
          <w:szCs w:val="20"/>
        </w:rPr>
      </w:pPr>
      <w:r w:rsidRPr="00640FF8">
        <w:rPr>
          <w:rFonts w:ascii="微软雅黑" w:eastAsia="微软雅黑" w:hAnsi="微软雅黑" w:hint="eastAsia"/>
          <w:sz w:val="20"/>
          <w:szCs w:val="20"/>
        </w:rPr>
        <w:t>本办法自发布之日起施行，有效期5年，《深圳市宝安区、龙岗区、光明新区及坪山新区拆除重建类城市更新单元旧屋村范围认定办法（试行）》（深</w:t>
      </w:r>
      <w:proofErr w:type="gramStart"/>
      <w:r w:rsidRPr="00640FF8">
        <w:rPr>
          <w:rFonts w:ascii="微软雅黑" w:eastAsia="微软雅黑" w:hAnsi="微软雅黑" w:hint="eastAsia"/>
          <w:sz w:val="20"/>
          <w:szCs w:val="20"/>
        </w:rPr>
        <w:t>规</w:t>
      </w:r>
      <w:proofErr w:type="gramEnd"/>
      <w:r w:rsidRPr="00640FF8">
        <w:rPr>
          <w:rFonts w:ascii="微软雅黑" w:eastAsia="微软雅黑" w:hAnsi="微软雅黑" w:hint="eastAsia"/>
          <w:sz w:val="20"/>
          <w:szCs w:val="20"/>
        </w:rPr>
        <w:t>土[2010]439号）同时废止。</w:t>
      </w:r>
    </w:p>
    <w:p w:rsidR="002953FC" w:rsidRPr="007E10E3" w:rsidRDefault="002953FC" w:rsidP="007E10E3"/>
    <w:sectPr w:rsidR="002953FC" w:rsidRPr="007E10E3" w:rsidSect="004D19F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3F" w:rsidRDefault="006B7F3F" w:rsidP="0082787A">
      <w:r>
        <w:separator/>
      </w:r>
    </w:p>
  </w:endnote>
  <w:endnote w:type="continuationSeparator" w:id="0">
    <w:p w:rsidR="006B7F3F" w:rsidRDefault="006B7F3F"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F9" w:rsidRDefault="004D19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F9" w:rsidRDefault="004D19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3F" w:rsidRDefault="006B7F3F" w:rsidP="0082787A">
      <w:r>
        <w:separator/>
      </w:r>
    </w:p>
  </w:footnote>
  <w:footnote w:type="continuationSeparator" w:id="0">
    <w:p w:rsidR="006B7F3F" w:rsidRDefault="006B7F3F"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F9" w:rsidRDefault="004D19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F9" w:rsidRDefault="004D19F9" w:rsidP="004D19F9">
    <w:pPr>
      <w:pStyle w:val="a5"/>
      <w:jc w:val="left"/>
    </w:pPr>
    <w:r>
      <w:rPr>
        <w:noProof/>
      </w:rPr>
      <w:drawing>
        <wp:inline distT="0" distB="0" distL="0" distR="0" wp14:anchorId="056B792F" wp14:editId="0714C670">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4D19F9" w:rsidRDefault="004D19F9" w:rsidP="004D19F9">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4D19F9" w:rsidRDefault="004D7B69" w:rsidP="004D19F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F9" w:rsidRDefault="004D19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6"/>
  </w:num>
  <w:num w:numId="2">
    <w:abstractNumId w:val="1"/>
  </w:num>
  <w:num w:numId="3">
    <w:abstractNumId w:val="2"/>
  </w:num>
  <w:num w:numId="4">
    <w:abstractNumId w:val="4"/>
  </w:num>
  <w:num w:numId="5">
    <w:abstractNumId w:val="3"/>
  </w:num>
  <w:num w:numId="6">
    <w:abstractNumId w:val="0"/>
  </w:num>
  <w:num w:numId="7">
    <w:abstractNumId w:val="17"/>
  </w:num>
  <w:num w:numId="8">
    <w:abstractNumId w:val="7"/>
  </w:num>
  <w:num w:numId="9">
    <w:abstractNumId w:val="18"/>
  </w:num>
  <w:num w:numId="10">
    <w:abstractNumId w:val="15"/>
  </w:num>
  <w:num w:numId="11">
    <w:abstractNumId w:val="20"/>
  </w:num>
  <w:num w:numId="12">
    <w:abstractNumId w:val="11"/>
  </w:num>
  <w:num w:numId="13">
    <w:abstractNumId w:val="6"/>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5"/>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B478B"/>
    <w:rsid w:val="0014354E"/>
    <w:rsid w:val="00186459"/>
    <w:rsid w:val="001A2CE0"/>
    <w:rsid w:val="001A5BA5"/>
    <w:rsid w:val="001B25E1"/>
    <w:rsid w:val="002953FC"/>
    <w:rsid w:val="002D6CA0"/>
    <w:rsid w:val="003656F0"/>
    <w:rsid w:val="003F1245"/>
    <w:rsid w:val="004D19F9"/>
    <w:rsid w:val="004D7B69"/>
    <w:rsid w:val="005305BA"/>
    <w:rsid w:val="005A6DB4"/>
    <w:rsid w:val="005C7C12"/>
    <w:rsid w:val="005D62A8"/>
    <w:rsid w:val="00644100"/>
    <w:rsid w:val="006B7F3F"/>
    <w:rsid w:val="006D62B0"/>
    <w:rsid w:val="00741E37"/>
    <w:rsid w:val="00750387"/>
    <w:rsid w:val="007B7DE8"/>
    <w:rsid w:val="007E10E3"/>
    <w:rsid w:val="0082787A"/>
    <w:rsid w:val="008306ED"/>
    <w:rsid w:val="00834074"/>
    <w:rsid w:val="00876E95"/>
    <w:rsid w:val="00922831"/>
    <w:rsid w:val="009C3BBC"/>
    <w:rsid w:val="009D3553"/>
    <w:rsid w:val="00A2308B"/>
    <w:rsid w:val="00A625A1"/>
    <w:rsid w:val="00AA57E8"/>
    <w:rsid w:val="00AC3379"/>
    <w:rsid w:val="00AC4F1F"/>
    <w:rsid w:val="00B01CC5"/>
    <w:rsid w:val="00C43C28"/>
    <w:rsid w:val="00C66CF9"/>
    <w:rsid w:val="00C6704B"/>
    <w:rsid w:val="00CF4BF3"/>
    <w:rsid w:val="00D96622"/>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1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7D2A56-F192-4BC5-9D8D-34EC47E2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2184</Characters>
  <Application>Microsoft Office Word</Application>
  <DocSecurity>0</DocSecurity>
  <Lines>18</Lines>
  <Paragraphs>5</Paragraphs>
  <ScaleCrop>false</ScaleCrop>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4</cp:revision>
  <cp:lastPrinted>2018-08-13T01:53:00Z</cp:lastPrinted>
  <dcterms:created xsi:type="dcterms:W3CDTF">2018-08-14T10:02:00Z</dcterms:created>
  <dcterms:modified xsi:type="dcterms:W3CDTF">2018-08-16T06:40:00Z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