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367" w:rsidRPr="00D91259" w:rsidRDefault="008E7367" w:rsidP="008E7367">
      <w:pPr>
        <w:spacing w:line="520" w:lineRule="exact"/>
        <w:jc w:val="center"/>
        <w:rPr>
          <w:rFonts w:ascii="微软雅黑" w:eastAsia="微软雅黑" w:hAnsi="微软雅黑"/>
          <w:b/>
          <w:sz w:val="24"/>
        </w:rPr>
      </w:pPr>
      <w:r w:rsidRPr="00D91259">
        <w:rPr>
          <w:rFonts w:ascii="微软雅黑" w:eastAsia="微软雅黑" w:hAnsi="微软雅黑" w:hint="eastAsia"/>
          <w:b/>
          <w:sz w:val="24"/>
        </w:rPr>
        <w:t>深圳市城市更新单元规划容积率审查规定</w:t>
      </w:r>
    </w:p>
    <w:p w:rsidR="008E7367" w:rsidRPr="00D91259" w:rsidRDefault="008E7367" w:rsidP="008E7367">
      <w:pPr>
        <w:spacing w:line="520" w:lineRule="exact"/>
        <w:jc w:val="center"/>
        <w:rPr>
          <w:rFonts w:ascii="微软雅黑" w:eastAsia="微软雅黑" w:hAnsi="微软雅黑"/>
          <w:b/>
          <w:sz w:val="24"/>
        </w:rPr>
      </w:pPr>
      <w:r w:rsidRPr="00D91259">
        <w:rPr>
          <w:rFonts w:ascii="微软雅黑" w:eastAsia="微软雅黑" w:hAnsi="微软雅黑" w:hint="eastAsia"/>
          <w:b/>
          <w:sz w:val="24"/>
        </w:rPr>
        <w:t>（征求意见稿）</w:t>
      </w:r>
    </w:p>
    <w:p w:rsidR="008E7367" w:rsidRPr="00D91259" w:rsidRDefault="008E7367" w:rsidP="008E7367">
      <w:pPr>
        <w:spacing w:line="520" w:lineRule="exact"/>
        <w:ind w:firstLineChars="200" w:firstLine="400"/>
        <w:rPr>
          <w:rFonts w:ascii="微软雅黑" w:eastAsia="微软雅黑" w:hAnsi="微软雅黑"/>
          <w:sz w:val="20"/>
          <w:szCs w:val="20"/>
        </w:rPr>
      </w:pPr>
      <w:r w:rsidRPr="00D91259">
        <w:rPr>
          <w:rFonts w:ascii="微软雅黑" w:eastAsia="微软雅黑" w:hAnsi="微软雅黑" w:hint="eastAsia"/>
          <w:b/>
          <w:sz w:val="20"/>
          <w:szCs w:val="20"/>
        </w:rPr>
        <w:t>第一条</w:t>
      </w:r>
      <w:r w:rsidRPr="00D91259">
        <w:rPr>
          <w:rFonts w:ascii="微软雅黑" w:eastAsia="微软雅黑" w:hAnsi="微软雅黑" w:hint="eastAsia"/>
          <w:sz w:val="20"/>
          <w:szCs w:val="20"/>
        </w:rPr>
        <w:t xml:space="preserve"> 为规范城市更新单元规划容积率管理，依据《深圳市城市更新办法》、《深圳市城市更新办法实施细则》、《关于加强和改进城市更新实施工作的暂行措施》（以下简称《暂行措施》）及《深圳市城市规划标准与准则》（以下简称《深标》）等，制定本规定。</w:t>
      </w:r>
    </w:p>
    <w:p w:rsidR="008E7367" w:rsidRPr="00D91259" w:rsidRDefault="008E7367" w:rsidP="008E7367">
      <w:pPr>
        <w:spacing w:line="520" w:lineRule="exact"/>
        <w:ind w:firstLineChars="200" w:firstLine="400"/>
        <w:rPr>
          <w:rFonts w:ascii="微软雅黑" w:eastAsia="微软雅黑" w:hAnsi="微软雅黑"/>
          <w:sz w:val="20"/>
          <w:szCs w:val="20"/>
        </w:rPr>
      </w:pPr>
      <w:r w:rsidRPr="00D91259">
        <w:rPr>
          <w:rFonts w:ascii="微软雅黑" w:eastAsia="微软雅黑" w:hAnsi="微软雅黑" w:hint="eastAsia"/>
          <w:b/>
          <w:sz w:val="20"/>
          <w:szCs w:val="20"/>
        </w:rPr>
        <w:t>第二条</w:t>
      </w:r>
      <w:r w:rsidRPr="00D91259">
        <w:rPr>
          <w:rFonts w:ascii="微软雅黑" w:eastAsia="微软雅黑" w:hAnsi="微软雅黑" w:hint="eastAsia"/>
          <w:sz w:val="20"/>
          <w:szCs w:val="20"/>
        </w:rPr>
        <w:t xml:space="preserve"> 本规定适用于深圳市行政区域内城市更新单元规划容积率审查。</w:t>
      </w:r>
    </w:p>
    <w:p w:rsidR="008E7367" w:rsidRPr="00D91259" w:rsidRDefault="008E7367" w:rsidP="008E7367">
      <w:pPr>
        <w:spacing w:line="520" w:lineRule="exact"/>
        <w:ind w:firstLineChars="200" w:firstLine="400"/>
        <w:rPr>
          <w:rFonts w:ascii="微软雅黑" w:eastAsia="微软雅黑" w:hAnsi="微软雅黑"/>
          <w:sz w:val="20"/>
          <w:szCs w:val="20"/>
        </w:rPr>
      </w:pPr>
      <w:r w:rsidRPr="00D91259">
        <w:rPr>
          <w:rFonts w:ascii="微软雅黑" w:eastAsia="微软雅黑" w:hAnsi="微软雅黑" w:hint="eastAsia"/>
          <w:b/>
          <w:sz w:val="20"/>
          <w:szCs w:val="20"/>
        </w:rPr>
        <w:t>第三条</w:t>
      </w:r>
      <w:r w:rsidRPr="00D91259">
        <w:rPr>
          <w:rFonts w:ascii="微软雅黑" w:eastAsia="微软雅黑" w:hAnsi="微软雅黑" w:hint="eastAsia"/>
          <w:sz w:val="20"/>
          <w:szCs w:val="20"/>
        </w:rPr>
        <w:t xml:space="preserve"> 城市更新单元规划容积率是指城市更新单元规划容积与城市更新单元内开发建设用地面积的比率。城市更新单元规划容积是指城市更新单元内开发建设用地各地</w:t>
      </w:r>
      <w:proofErr w:type="gramStart"/>
      <w:r w:rsidRPr="00D91259">
        <w:rPr>
          <w:rFonts w:ascii="微软雅黑" w:eastAsia="微软雅黑" w:hAnsi="微软雅黑" w:hint="eastAsia"/>
          <w:sz w:val="20"/>
          <w:szCs w:val="20"/>
        </w:rPr>
        <w:t>块规定</w:t>
      </w:r>
      <w:proofErr w:type="gramEnd"/>
      <w:r w:rsidRPr="00D91259">
        <w:rPr>
          <w:rFonts w:ascii="微软雅黑" w:eastAsia="微软雅黑" w:hAnsi="微软雅黑" w:hint="eastAsia"/>
          <w:sz w:val="20"/>
          <w:szCs w:val="20"/>
        </w:rPr>
        <w:t>建筑面积之和，包含地上规定建筑面积与地下规定建筑面积, 其中地下规定建筑面积指除地下车库、设备用房、民防设施、公共交通等之外的地下面积。</w:t>
      </w:r>
    </w:p>
    <w:p w:rsidR="008E7367" w:rsidRPr="00D91259" w:rsidRDefault="008E7367" w:rsidP="008E7367">
      <w:pPr>
        <w:spacing w:line="520" w:lineRule="exact"/>
        <w:ind w:firstLineChars="200" w:firstLine="400"/>
        <w:rPr>
          <w:rFonts w:ascii="微软雅黑" w:eastAsia="微软雅黑" w:hAnsi="微软雅黑"/>
          <w:sz w:val="20"/>
          <w:szCs w:val="20"/>
        </w:rPr>
      </w:pPr>
      <w:r w:rsidRPr="00D91259">
        <w:rPr>
          <w:rFonts w:ascii="微软雅黑" w:eastAsia="微软雅黑" w:hAnsi="微软雅黑" w:hint="eastAsia"/>
          <w:sz w:val="20"/>
          <w:szCs w:val="20"/>
        </w:rPr>
        <w:t xml:space="preserve">规划容积由基础容积、转移容积、奖励容积三部分组成。 </w:t>
      </w:r>
    </w:p>
    <w:p w:rsidR="008E7367" w:rsidRPr="00D91259" w:rsidRDefault="008E7367" w:rsidP="008E7367">
      <w:pPr>
        <w:spacing w:line="520" w:lineRule="exact"/>
        <w:ind w:firstLineChars="200" w:firstLine="400"/>
        <w:rPr>
          <w:rFonts w:ascii="微软雅黑" w:eastAsia="微软雅黑" w:hAnsi="微软雅黑"/>
          <w:sz w:val="20"/>
          <w:szCs w:val="20"/>
        </w:rPr>
      </w:pPr>
      <w:r w:rsidRPr="00D91259">
        <w:rPr>
          <w:rFonts w:ascii="微软雅黑" w:eastAsia="微软雅黑" w:hAnsi="微软雅黑" w:hint="eastAsia"/>
          <w:sz w:val="20"/>
          <w:szCs w:val="20"/>
        </w:rPr>
        <w:t>城市更新单元内开发建设用地（以下简称“开发建设用地”）是指出让给项目实施主体进行开发建设的用地。</w:t>
      </w:r>
    </w:p>
    <w:p w:rsidR="008E7367" w:rsidRPr="00D91259" w:rsidRDefault="008E7367" w:rsidP="008E7367">
      <w:pPr>
        <w:spacing w:line="520" w:lineRule="exact"/>
        <w:ind w:firstLineChars="200" w:firstLine="400"/>
        <w:rPr>
          <w:rFonts w:ascii="微软雅黑" w:eastAsia="微软雅黑" w:hAnsi="微软雅黑"/>
          <w:sz w:val="20"/>
          <w:szCs w:val="20"/>
        </w:rPr>
      </w:pPr>
      <w:r w:rsidRPr="00D91259">
        <w:rPr>
          <w:rFonts w:ascii="微软雅黑" w:eastAsia="微软雅黑" w:hAnsi="微软雅黑"/>
          <w:b/>
          <w:sz w:val="20"/>
          <w:szCs w:val="20"/>
        </w:rPr>
        <w:t>第四条</w:t>
      </w:r>
      <w:r w:rsidRPr="00D91259">
        <w:rPr>
          <w:rFonts w:ascii="微软雅黑" w:eastAsia="微软雅黑" w:hAnsi="微软雅黑" w:hint="eastAsia"/>
          <w:sz w:val="20"/>
          <w:szCs w:val="20"/>
        </w:rPr>
        <w:t xml:space="preserve"> 基础容积是</w:t>
      </w:r>
      <w:r w:rsidRPr="00D91259">
        <w:rPr>
          <w:rFonts w:ascii="微软雅黑" w:eastAsia="微软雅黑" w:hAnsi="微软雅黑"/>
          <w:sz w:val="20"/>
          <w:szCs w:val="20"/>
        </w:rPr>
        <w:t>指开发建设用地各地块用地面积与对应的</w:t>
      </w:r>
      <w:r w:rsidRPr="00D91259">
        <w:rPr>
          <w:rFonts w:ascii="微软雅黑" w:eastAsia="微软雅黑" w:hAnsi="微软雅黑" w:hint="eastAsia"/>
          <w:sz w:val="20"/>
          <w:szCs w:val="20"/>
        </w:rPr>
        <w:t>地块基础</w:t>
      </w:r>
      <w:r w:rsidRPr="00D91259">
        <w:rPr>
          <w:rFonts w:ascii="微软雅黑" w:eastAsia="微软雅黑" w:hAnsi="微软雅黑"/>
          <w:sz w:val="20"/>
          <w:szCs w:val="20"/>
        </w:rPr>
        <w:t>容积率的乘积之</w:t>
      </w:r>
      <w:proofErr w:type="gramStart"/>
      <w:r w:rsidRPr="00D91259">
        <w:rPr>
          <w:rFonts w:ascii="微软雅黑" w:eastAsia="微软雅黑" w:hAnsi="微软雅黑"/>
          <w:sz w:val="20"/>
          <w:szCs w:val="20"/>
        </w:rPr>
        <w:t>和</w:t>
      </w:r>
      <w:proofErr w:type="gramEnd"/>
      <w:r w:rsidRPr="00D91259">
        <w:rPr>
          <w:rFonts w:ascii="微软雅黑" w:eastAsia="微软雅黑" w:hAnsi="微软雅黑" w:hint="eastAsia"/>
          <w:sz w:val="20"/>
          <w:szCs w:val="20"/>
        </w:rPr>
        <w:t>。</w:t>
      </w:r>
      <w:r w:rsidRPr="00D91259">
        <w:rPr>
          <w:rFonts w:ascii="微软雅黑" w:eastAsia="微软雅黑" w:hAnsi="微软雅黑"/>
          <w:sz w:val="20"/>
          <w:szCs w:val="20"/>
        </w:rPr>
        <w:t>基础容积率是</w:t>
      </w:r>
      <w:r w:rsidRPr="00D91259">
        <w:rPr>
          <w:rFonts w:ascii="微软雅黑" w:eastAsia="微软雅黑" w:hAnsi="微软雅黑" w:hint="eastAsia"/>
          <w:sz w:val="20"/>
          <w:szCs w:val="20"/>
        </w:rPr>
        <w:t>基础容积</w:t>
      </w:r>
      <w:r w:rsidRPr="00D91259">
        <w:rPr>
          <w:rFonts w:ascii="微软雅黑" w:eastAsia="微软雅黑" w:hAnsi="微软雅黑"/>
          <w:sz w:val="20"/>
          <w:szCs w:val="20"/>
        </w:rPr>
        <w:t>与开发建设用地</w:t>
      </w:r>
      <w:r w:rsidRPr="00D91259">
        <w:rPr>
          <w:rFonts w:ascii="微软雅黑" w:eastAsia="微软雅黑" w:hAnsi="微软雅黑" w:hint="eastAsia"/>
          <w:sz w:val="20"/>
          <w:szCs w:val="20"/>
        </w:rPr>
        <w:t>面积</w:t>
      </w:r>
      <w:r w:rsidRPr="00D91259">
        <w:rPr>
          <w:rFonts w:ascii="微软雅黑" w:eastAsia="微软雅黑" w:hAnsi="微软雅黑"/>
          <w:sz w:val="20"/>
          <w:szCs w:val="20"/>
        </w:rPr>
        <w:t>的比率。</w:t>
      </w:r>
      <w:r w:rsidRPr="00D91259">
        <w:rPr>
          <w:rFonts w:ascii="微软雅黑" w:eastAsia="微软雅黑" w:hAnsi="微软雅黑" w:hint="eastAsia"/>
          <w:sz w:val="20"/>
          <w:szCs w:val="20"/>
        </w:rPr>
        <w:t xml:space="preserve">地块基础容积率按《深标》“第4章 密度分区与容积率”进行测算。其中，混合使用的地块基础容积率测算中各类功能建筑面积占总建筑面积的比例按以下条款进行取值，项目实际规划中地块各类建筑功能比例依据《深标》2.2条土地混合使用规定具体确定。 </w:t>
      </w:r>
    </w:p>
    <w:p w:rsidR="008E7367" w:rsidRPr="00D91259" w:rsidRDefault="008E7367" w:rsidP="008E7367">
      <w:pPr>
        <w:spacing w:line="520" w:lineRule="exact"/>
        <w:ind w:firstLineChars="200" w:firstLine="400"/>
        <w:rPr>
          <w:rFonts w:ascii="微软雅黑" w:eastAsia="微软雅黑" w:hAnsi="微软雅黑"/>
          <w:sz w:val="20"/>
          <w:szCs w:val="20"/>
        </w:rPr>
      </w:pPr>
      <w:r w:rsidRPr="00D91259">
        <w:rPr>
          <w:rFonts w:ascii="微软雅黑" w:eastAsia="微软雅黑" w:hAnsi="微软雅黑" w:hint="eastAsia"/>
          <w:sz w:val="20"/>
          <w:szCs w:val="20"/>
        </w:rPr>
        <w:t>（一）规划含居住功能的混合用地，居住功能为主导功能时, 居住建筑面积占比按69%取值；居住功能为非主导功能时，居住建筑面积占比按49%取值。</w:t>
      </w:r>
    </w:p>
    <w:p w:rsidR="008E7367" w:rsidRPr="00D91259" w:rsidRDefault="008E7367" w:rsidP="008E7367">
      <w:pPr>
        <w:spacing w:line="520" w:lineRule="exact"/>
        <w:ind w:firstLineChars="200" w:firstLine="400"/>
        <w:rPr>
          <w:rFonts w:ascii="微软雅黑" w:eastAsia="微软雅黑" w:hAnsi="微软雅黑"/>
          <w:sz w:val="20"/>
          <w:szCs w:val="20"/>
        </w:rPr>
      </w:pPr>
      <w:r w:rsidRPr="00D91259">
        <w:rPr>
          <w:rFonts w:ascii="微软雅黑" w:eastAsia="微软雅黑" w:hAnsi="微软雅黑" w:hint="eastAsia"/>
          <w:sz w:val="20"/>
          <w:szCs w:val="20"/>
        </w:rPr>
        <w:t>（二）规划含商业服务业功能的混合用地，商业服务业功能为主导功能时，商业服务业建筑面积占比按51%取值；商业服务业功能为非主导功能时，商业服务业建筑面积占比按31%取值。</w:t>
      </w:r>
    </w:p>
    <w:p w:rsidR="008E7367" w:rsidRPr="00D91259" w:rsidRDefault="008E7367" w:rsidP="008E7367">
      <w:pPr>
        <w:spacing w:line="520" w:lineRule="exact"/>
        <w:ind w:firstLineChars="200" w:firstLine="400"/>
        <w:rPr>
          <w:rFonts w:ascii="微软雅黑" w:eastAsia="微软雅黑" w:hAnsi="微软雅黑"/>
          <w:sz w:val="20"/>
          <w:szCs w:val="20"/>
        </w:rPr>
      </w:pPr>
      <w:r w:rsidRPr="00D91259">
        <w:rPr>
          <w:rFonts w:ascii="微软雅黑" w:eastAsia="微软雅黑" w:hAnsi="微软雅黑" w:hint="eastAsia"/>
          <w:sz w:val="20"/>
          <w:szCs w:val="20"/>
        </w:rPr>
        <w:t xml:space="preserve">（三）规划为单一用地性质的，主导功能建筑面积占比按100%取值。 </w:t>
      </w:r>
    </w:p>
    <w:p w:rsidR="008E7367" w:rsidRPr="00D91259" w:rsidRDefault="008E7367" w:rsidP="008E7367">
      <w:pPr>
        <w:spacing w:line="520" w:lineRule="exact"/>
        <w:ind w:firstLineChars="200" w:firstLine="400"/>
        <w:rPr>
          <w:rFonts w:ascii="微软雅黑" w:eastAsia="微软雅黑" w:hAnsi="微软雅黑"/>
          <w:sz w:val="20"/>
          <w:szCs w:val="20"/>
        </w:rPr>
      </w:pPr>
      <w:r w:rsidRPr="00D91259">
        <w:rPr>
          <w:rFonts w:ascii="微软雅黑" w:eastAsia="微软雅黑" w:hAnsi="微软雅黑" w:hint="eastAsia"/>
          <w:b/>
          <w:sz w:val="20"/>
          <w:szCs w:val="20"/>
        </w:rPr>
        <w:t>第五条</w:t>
      </w:r>
      <w:r w:rsidRPr="00D91259">
        <w:rPr>
          <w:rFonts w:ascii="微软雅黑" w:eastAsia="微软雅黑" w:hAnsi="微软雅黑" w:hint="eastAsia"/>
          <w:sz w:val="20"/>
          <w:szCs w:val="20"/>
        </w:rPr>
        <w:t xml:space="preserve"> 转移容积是指城市更新单元内按本规定可转移</w:t>
      </w:r>
      <w:proofErr w:type="gramStart"/>
      <w:r w:rsidRPr="00D91259">
        <w:rPr>
          <w:rFonts w:ascii="微软雅黑" w:eastAsia="微软雅黑" w:hAnsi="微软雅黑" w:hint="eastAsia"/>
          <w:sz w:val="20"/>
          <w:szCs w:val="20"/>
        </w:rPr>
        <w:t>至开发</w:t>
      </w:r>
      <w:proofErr w:type="gramEnd"/>
      <w:r w:rsidRPr="00D91259">
        <w:rPr>
          <w:rFonts w:ascii="微软雅黑" w:eastAsia="微软雅黑" w:hAnsi="微软雅黑" w:hint="eastAsia"/>
          <w:sz w:val="20"/>
          <w:szCs w:val="20"/>
        </w:rPr>
        <w:t>建设用地范围内的容积。对于符合以下情形的，给予城市更新单元转移容积：</w:t>
      </w:r>
    </w:p>
    <w:p w:rsidR="008E7367" w:rsidRPr="00D91259" w:rsidRDefault="008E7367" w:rsidP="008E7367">
      <w:pPr>
        <w:spacing w:line="520" w:lineRule="exact"/>
        <w:ind w:firstLineChars="200" w:firstLine="400"/>
        <w:rPr>
          <w:rFonts w:ascii="微软雅黑" w:eastAsia="微软雅黑" w:hAnsi="微软雅黑"/>
          <w:sz w:val="20"/>
          <w:szCs w:val="20"/>
        </w:rPr>
      </w:pPr>
      <w:r w:rsidRPr="00D91259">
        <w:rPr>
          <w:rFonts w:ascii="微软雅黑" w:eastAsia="微软雅黑" w:hAnsi="微软雅黑" w:hint="eastAsia"/>
          <w:sz w:val="20"/>
          <w:szCs w:val="20"/>
        </w:rPr>
        <w:t xml:space="preserve">（一）城市更新单元拆除用地范围内经核算的实际土地移交用地面积超出基准土地移交用地面积的，超出的用地面积与基础容积率的乘积作为转移容积。 </w:t>
      </w:r>
    </w:p>
    <w:p w:rsidR="008E7367" w:rsidRPr="00D91259" w:rsidRDefault="008E7367" w:rsidP="008E7367">
      <w:pPr>
        <w:spacing w:line="520" w:lineRule="exact"/>
        <w:ind w:firstLineChars="200" w:firstLine="400"/>
        <w:rPr>
          <w:rFonts w:ascii="微软雅黑" w:eastAsia="微软雅黑" w:hAnsi="微软雅黑"/>
          <w:sz w:val="20"/>
          <w:szCs w:val="20"/>
        </w:rPr>
      </w:pPr>
      <w:r w:rsidRPr="00D91259">
        <w:rPr>
          <w:rFonts w:ascii="微软雅黑" w:eastAsia="微软雅黑" w:hAnsi="微软雅黑" w:hint="eastAsia"/>
          <w:sz w:val="20"/>
          <w:szCs w:val="20"/>
        </w:rPr>
        <w:t>其中涉及以下类型的移交用地，按该类型移交用地面积与基础容积率乘积的0.3倍再予增加转移容积：</w:t>
      </w:r>
    </w:p>
    <w:p w:rsidR="008E7367" w:rsidRPr="00D91259" w:rsidRDefault="008E7367" w:rsidP="008E7367">
      <w:pPr>
        <w:spacing w:line="520" w:lineRule="exact"/>
        <w:ind w:firstLineChars="200" w:firstLine="400"/>
        <w:rPr>
          <w:rFonts w:ascii="微软雅黑" w:eastAsia="微软雅黑" w:hAnsi="微软雅黑"/>
          <w:sz w:val="20"/>
          <w:szCs w:val="20"/>
        </w:rPr>
      </w:pPr>
      <w:r w:rsidRPr="00D91259">
        <w:rPr>
          <w:rFonts w:ascii="微软雅黑" w:eastAsia="微软雅黑" w:hAnsi="微软雅黑" w:hint="eastAsia"/>
          <w:sz w:val="20"/>
          <w:szCs w:val="20"/>
        </w:rPr>
        <w:lastRenderedPageBreak/>
        <w:t>1、落实片区所需初中用地的（九年一贯制学校按其用地面积2/3作为初中用地面积进行计算）。</w:t>
      </w:r>
    </w:p>
    <w:p w:rsidR="008E7367" w:rsidRPr="00D91259" w:rsidRDefault="008E7367" w:rsidP="008E7367">
      <w:pPr>
        <w:spacing w:line="520" w:lineRule="exact"/>
        <w:ind w:firstLineChars="200" w:firstLine="400"/>
        <w:rPr>
          <w:rFonts w:ascii="微软雅黑" w:eastAsia="微软雅黑" w:hAnsi="微软雅黑"/>
          <w:sz w:val="20"/>
          <w:szCs w:val="20"/>
        </w:rPr>
      </w:pPr>
      <w:r w:rsidRPr="00D91259">
        <w:rPr>
          <w:rFonts w:ascii="微软雅黑" w:eastAsia="微软雅黑" w:hAnsi="微软雅黑" w:hint="eastAsia"/>
          <w:sz w:val="20"/>
          <w:szCs w:val="20"/>
        </w:rPr>
        <w:t>2、落实高中、综合医院用地的。</w:t>
      </w:r>
    </w:p>
    <w:p w:rsidR="008E7367" w:rsidRPr="00D91259" w:rsidRDefault="008E7367" w:rsidP="008E7367">
      <w:pPr>
        <w:spacing w:line="520" w:lineRule="exact"/>
        <w:ind w:firstLineChars="200" w:firstLine="400"/>
        <w:rPr>
          <w:rFonts w:ascii="微软雅黑" w:eastAsia="微软雅黑" w:hAnsi="微软雅黑"/>
          <w:sz w:val="20"/>
          <w:szCs w:val="20"/>
        </w:rPr>
      </w:pPr>
      <w:r w:rsidRPr="00D91259">
        <w:rPr>
          <w:rFonts w:ascii="微软雅黑" w:eastAsia="微软雅黑" w:hAnsi="微软雅黑"/>
          <w:sz w:val="20"/>
          <w:szCs w:val="20"/>
        </w:rPr>
        <w:t>3</w:t>
      </w:r>
      <w:r w:rsidRPr="00D91259">
        <w:rPr>
          <w:rFonts w:ascii="微软雅黑" w:eastAsia="微软雅黑" w:hAnsi="微软雅黑" w:hint="eastAsia"/>
          <w:sz w:val="20"/>
          <w:szCs w:val="20"/>
        </w:rPr>
        <w:t>、在法定规划基础上额外落实占地面积不小于5</w:t>
      </w:r>
      <w:r w:rsidRPr="00D91259">
        <w:rPr>
          <w:rFonts w:ascii="微软雅黑" w:eastAsia="微软雅黑" w:hAnsi="微软雅黑"/>
          <w:sz w:val="20"/>
          <w:szCs w:val="20"/>
        </w:rPr>
        <w:t>000</w:t>
      </w:r>
      <w:r w:rsidRPr="00D91259">
        <w:rPr>
          <w:rFonts w:ascii="微软雅黑" w:eastAsia="微软雅黑" w:hAnsi="微软雅黑" w:hint="eastAsia"/>
          <w:sz w:val="20"/>
          <w:szCs w:val="20"/>
        </w:rPr>
        <w:t>平方米的文化设施用地的。</w:t>
      </w:r>
    </w:p>
    <w:p w:rsidR="008E7367" w:rsidRPr="00D91259" w:rsidRDefault="008E7367" w:rsidP="008E7367">
      <w:pPr>
        <w:spacing w:line="520" w:lineRule="exact"/>
        <w:ind w:firstLineChars="200" w:firstLine="400"/>
        <w:rPr>
          <w:rFonts w:ascii="微软雅黑" w:eastAsia="微软雅黑" w:hAnsi="微软雅黑"/>
          <w:sz w:val="20"/>
          <w:szCs w:val="20"/>
        </w:rPr>
      </w:pPr>
      <w:r w:rsidRPr="00D91259">
        <w:rPr>
          <w:rFonts w:ascii="微软雅黑" w:eastAsia="微软雅黑" w:hAnsi="微软雅黑"/>
          <w:sz w:val="20"/>
          <w:szCs w:val="20"/>
        </w:rPr>
        <w:t>4</w:t>
      </w:r>
      <w:r w:rsidRPr="00D91259">
        <w:rPr>
          <w:rFonts w:ascii="微软雅黑" w:eastAsia="微软雅黑" w:hAnsi="微软雅黑" w:hint="eastAsia"/>
          <w:sz w:val="20"/>
          <w:szCs w:val="20"/>
        </w:rPr>
        <w:t>、无居住功能的单元中，在符合国家及我市相关设计标准及规范的前提下，在法定规划基础上额外落实片区所需小学用地的。</w:t>
      </w:r>
    </w:p>
    <w:p w:rsidR="008E7367" w:rsidRPr="00D91259" w:rsidRDefault="008E7367" w:rsidP="008E7367">
      <w:pPr>
        <w:spacing w:line="520" w:lineRule="exact"/>
        <w:ind w:firstLineChars="200" w:firstLine="400"/>
        <w:rPr>
          <w:rFonts w:ascii="微软雅黑" w:eastAsia="微软雅黑" w:hAnsi="微软雅黑"/>
          <w:sz w:val="20"/>
          <w:szCs w:val="20"/>
        </w:rPr>
      </w:pPr>
      <w:r w:rsidRPr="00D91259">
        <w:rPr>
          <w:rFonts w:ascii="微软雅黑" w:eastAsia="微软雅黑" w:hAnsi="微软雅黑" w:hint="eastAsia"/>
          <w:sz w:val="20"/>
          <w:szCs w:val="20"/>
        </w:rPr>
        <w:t>5、保留已纳入市政府公布的《深圳市历史建筑名录》或市主管部门认定有保留价值的历史建筑或历史风貌区的。历史建筑或历史风貌区修缮及整治实施方案应与城市更新单元规划同步报辖区政府（含新区管委会），实施主体承担修缮、整治费用及责任，并将土地及地上建、构筑物产权无偿移交政府， 由辖区政府（含新区管委会）指定具体部门接收 。</w:t>
      </w:r>
    </w:p>
    <w:p w:rsidR="008E7367" w:rsidRPr="00D91259" w:rsidRDefault="008E7367" w:rsidP="008E7367">
      <w:pPr>
        <w:spacing w:line="520" w:lineRule="exact"/>
        <w:ind w:firstLineChars="200" w:firstLine="400"/>
        <w:rPr>
          <w:rFonts w:ascii="微软雅黑" w:eastAsia="微软雅黑" w:hAnsi="微软雅黑"/>
          <w:sz w:val="20"/>
          <w:szCs w:val="20"/>
        </w:rPr>
      </w:pPr>
      <w:r w:rsidRPr="00D91259">
        <w:rPr>
          <w:rFonts w:ascii="微软雅黑" w:eastAsia="微软雅黑" w:hAnsi="微软雅黑" w:hint="eastAsia"/>
          <w:sz w:val="20"/>
          <w:szCs w:val="20"/>
        </w:rPr>
        <w:t>（二）根据《关于城市更新促进公共利益用地供给的暂行规定》可转移至城市更新单元开发建设用地范围内的建筑面积作为城市更新单元拆除用地范围外的转移容积进行核算。</w:t>
      </w:r>
    </w:p>
    <w:p w:rsidR="008E7367" w:rsidRPr="00D91259" w:rsidRDefault="008E7367" w:rsidP="008E7367">
      <w:pPr>
        <w:spacing w:line="520" w:lineRule="exact"/>
        <w:ind w:firstLineChars="200" w:firstLine="400"/>
        <w:rPr>
          <w:rFonts w:ascii="微软雅黑" w:eastAsia="微软雅黑" w:hAnsi="微软雅黑"/>
          <w:sz w:val="20"/>
          <w:szCs w:val="20"/>
        </w:rPr>
      </w:pPr>
      <w:r w:rsidRPr="00D91259">
        <w:rPr>
          <w:rFonts w:ascii="微软雅黑" w:eastAsia="微软雅黑" w:hAnsi="微软雅黑" w:hint="eastAsia"/>
          <w:b/>
          <w:sz w:val="20"/>
          <w:szCs w:val="20"/>
        </w:rPr>
        <w:t xml:space="preserve">第六条 </w:t>
      </w:r>
      <w:r w:rsidRPr="00D91259">
        <w:rPr>
          <w:rFonts w:ascii="微软雅黑" w:eastAsia="微软雅黑" w:hAnsi="微软雅黑" w:hint="eastAsia"/>
          <w:sz w:val="20"/>
          <w:szCs w:val="20"/>
        </w:rPr>
        <w:t>奖励容积是指因公共利益需要，对符合以下情形的，依据本规定给予的建筑面积奖励：</w:t>
      </w:r>
    </w:p>
    <w:p w:rsidR="008E7367" w:rsidRPr="00D91259" w:rsidRDefault="008E7367" w:rsidP="008E7367">
      <w:pPr>
        <w:spacing w:line="520" w:lineRule="exact"/>
        <w:ind w:firstLineChars="200" w:firstLine="400"/>
        <w:rPr>
          <w:rFonts w:ascii="微软雅黑" w:eastAsia="微软雅黑" w:hAnsi="微软雅黑"/>
          <w:sz w:val="20"/>
          <w:szCs w:val="20"/>
        </w:rPr>
      </w:pPr>
      <w:r w:rsidRPr="00D91259">
        <w:rPr>
          <w:rFonts w:ascii="微软雅黑" w:eastAsia="微软雅黑" w:hAnsi="微软雅黑" w:hint="eastAsia"/>
          <w:sz w:val="20"/>
          <w:szCs w:val="20"/>
        </w:rPr>
        <w:t>（一） 开发建设用地中，依据《关于加强和改进城市更新实施工作的暂行措施》、《深圳市城市更新项目保障性住房配建规定》和《深圳市城市更新项目创新型产业用房配建规定》等规定配建的人才住房、保障性住房、人才公寓及创新型产业用房等政策性用房，除明确规定计入基础建筑面积的，其余建筑面积作为奖励容积。</w:t>
      </w:r>
    </w:p>
    <w:p w:rsidR="008E7367" w:rsidRPr="00D91259" w:rsidRDefault="008E7367" w:rsidP="008E7367">
      <w:pPr>
        <w:spacing w:line="520" w:lineRule="exact"/>
        <w:ind w:firstLineChars="200" w:firstLine="400"/>
        <w:rPr>
          <w:rFonts w:ascii="微软雅黑" w:eastAsia="微软雅黑" w:hAnsi="微软雅黑"/>
          <w:sz w:val="20"/>
          <w:szCs w:val="20"/>
        </w:rPr>
      </w:pPr>
      <w:r w:rsidRPr="00D91259">
        <w:rPr>
          <w:rFonts w:ascii="微软雅黑" w:eastAsia="微软雅黑" w:hAnsi="微软雅黑" w:hint="eastAsia"/>
          <w:sz w:val="20"/>
          <w:szCs w:val="20"/>
        </w:rPr>
        <w:t>在上述基础上增配的人才住房、保障性住房、人才公寓及创新型产业用房等政策性用房，其建筑面积不予作为奖励容积。</w:t>
      </w:r>
    </w:p>
    <w:p w:rsidR="008E7367" w:rsidRPr="00D91259" w:rsidRDefault="008E7367" w:rsidP="008E7367">
      <w:pPr>
        <w:spacing w:line="520" w:lineRule="exact"/>
        <w:ind w:firstLineChars="200" w:firstLine="400"/>
        <w:rPr>
          <w:rFonts w:ascii="微软雅黑" w:eastAsia="微软雅黑" w:hAnsi="微软雅黑"/>
          <w:sz w:val="20"/>
          <w:szCs w:val="20"/>
        </w:rPr>
      </w:pPr>
      <w:r w:rsidRPr="00D91259">
        <w:rPr>
          <w:rFonts w:ascii="微软雅黑" w:eastAsia="微软雅黑" w:hAnsi="微软雅黑" w:hint="eastAsia"/>
          <w:sz w:val="20"/>
          <w:szCs w:val="20"/>
        </w:rPr>
        <w:t>（二）开发建设用地中，按已生效规划及《深标》、《暂行措施》等要求落实的附建式公共设施、交通设施及市政设施，其建筑面积作为奖励容积。其中，设施为社区健康服务中心、社区老年人日间照料中心的，按其建筑面积的2倍作为奖励容积；设施为垃圾转运站（含再生资源回收站、环卫工人作息房、公共厕所）、变电站的，按其建筑面积的3倍作为奖励容积。</w:t>
      </w:r>
    </w:p>
    <w:p w:rsidR="008E7367" w:rsidRPr="00D91259" w:rsidRDefault="008E7367" w:rsidP="008E7367">
      <w:pPr>
        <w:spacing w:line="520" w:lineRule="exact"/>
        <w:ind w:firstLineChars="200" w:firstLine="400"/>
        <w:rPr>
          <w:rFonts w:ascii="微软雅黑" w:eastAsia="微软雅黑" w:hAnsi="微软雅黑"/>
          <w:sz w:val="20"/>
          <w:szCs w:val="20"/>
        </w:rPr>
      </w:pPr>
      <w:r w:rsidRPr="00D91259">
        <w:rPr>
          <w:rFonts w:ascii="微软雅黑" w:eastAsia="微软雅黑" w:hAnsi="微软雅黑" w:hint="eastAsia"/>
          <w:sz w:val="20"/>
          <w:szCs w:val="20"/>
        </w:rPr>
        <w:t>（三）依据已批法定规划城市设计要求，城市更新单元内，为连通城市公交场站、轨道站点或重要公共空间，经核准设置24小时无条件对公众开放的地面通道、地下通道、空中连廊，并由实施主体承担建设责任及费用的，按其对应投影面积的1倍作为奖励容积。</w:t>
      </w:r>
    </w:p>
    <w:p w:rsidR="008E7367" w:rsidRPr="00D91259" w:rsidRDefault="008E7367" w:rsidP="008E7367">
      <w:pPr>
        <w:spacing w:line="520" w:lineRule="exact"/>
        <w:ind w:firstLineChars="200" w:firstLine="400"/>
        <w:rPr>
          <w:rFonts w:ascii="微软雅黑" w:eastAsia="微软雅黑" w:hAnsi="微软雅黑"/>
          <w:sz w:val="20"/>
          <w:szCs w:val="20"/>
        </w:rPr>
      </w:pPr>
      <w:r w:rsidRPr="00D91259">
        <w:rPr>
          <w:rFonts w:ascii="微软雅黑" w:eastAsia="微软雅黑" w:hAnsi="微软雅黑" w:hint="eastAsia"/>
          <w:sz w:val="20"/>
          <w:szCs w:val="20"/>
        </w:rPr>
        <w:t>（四）城市更新单元拆除用地范围内，保留已纳入市政府公布的《深圳市历史建筑名录》或市主管部门认定有保留价值的历史建筑但不按照第五条（一）要求移交用地的，按保留建筑的建筑面积及保留构筑物的投影</w:t>
      </w:r>
      <w:r w:rsidRPr="00D91259">
        <w:rPr>
          <w:rFonts w:ascii="微软雅黑" w:eastAsia="微软雅黑" w:hAnsi="微软雅黑" w:hint="eastAsia"/>
          <w:sz w:val="20"/>
          <w:szCs w:val="20"/>
        </w:rPr>
        <w:lastRenderedPageBreak/>
        <w:t>面积之和1.5倍面积作为奖励容积。历史建筑修缮及整治实施方案应与城市更新单元规划同步报辖区政府（含新区管委会），实施主体应承担保留建、构筑物的活化和综合整治责任及费用。</w:t>
      </w:r>
    </w:p>
    <w:p w:rsidR="008E7367" w:rsidRPr="00D91259" w:rsidRDefault="008E7367" w:rsidP="008E7367">
      <w:pPr>
        <w:spacing w:line="520" w:lineRule="exact"/>
        <w:ind w:firstLineChars="200" w:firstLine="400"/>
        <w:rPr>
          <w:rFonts w:ascii="微软雅黑" w:eastAsia="微软雅黑" w:hAnsi="微软雅黑"/>
          <w:sz w:val="20"/>
          <w:szCs w:val="20"/>
        </w:rPr>
      </w:pPr>
      <w:r w:rsidRPr="00D91259">
        <w:rPr>
          <w:rFonts w:ascii="微软雅黑" w:eastAsia="微软雅黑" w:hAnsi="微软雅黑" w:hint="eastAsia"/>
          <w:sz w:val="20"/>
          <w:szCs w:val="20"/>
        </w:rPr>
        <w:t>（五）市政府规定的其他奖励情形。</w:t>
      </w:r>
    </w:p>
    <w:p w:rsidR="008E7367" w:rsidRPr="00D91259" w:rsidRDefault="008E7367" w:rsidP="008E7367">
      <w:pPr>
        <w:spacing w:line="520" w:lineRule="exact"/>
        <w:ind w:firstLineChars="200" w:firstLine="400"/>
        <w:rPr>
          <w:rFonts w:ascii="微软雅黑" w:eastAsia="微软雅黑" w:hAnsi="微软雅黑"/>
          <w:sz w:val="20"/>
          <w:szCs w:val="20"/>
        </w:rPr>
      </w:pPr>
      <w:r w:rsidRPr="00D91259">
        <w:rPr>
          <w:rFonts w:ascii="微软雅黑" w:eastAsia="微软雅黑" w:hAnsi="微软雅黑" w:hint="eastAsia"/>
          <w:sz w:val="20"/>
          <w:szCs w:val="20"/>
        </w:rPr>
        <w:t xml:space="preserve">（六）上述奖励容积之和不应超出基础容积的30%。因配建人才住房、保障性住房所核算的奖励容积超出基础容积20%的部分可不受本款限制。 </w:t>
      </w:r>
    </w:p>
    <w:p w:rsidR="008E7367" w:rsidRPr="00D91259" w:rsidRDefault="008E7367" w:rsidP="008E7367">
      <w:pPr>
        <w:spacing w:line="520" w:lineRule="exact"/>
        <w:ind w:firstLineChars="200" w:firstLine="400"/>
        <w:rPr>
          <w:rFonts w:ascii="微软雅黑" w:eastAsia="微软雅黑" w:hAnsi="微软雅黑"/>
          <w:sz w:val="20"/>
          <w:szCs w:val="20"/>
        </w:rPr>
      </w:pPr>
      <w:r w:rsidRPr="00D91259">
        <w:rPr>
          <w:rFonts w:ascii="微软雅黑" w:eastAsia="微软雅黑" w:hAnsi="微软雅黑" w:hint="eastAsia"/>
          <w:b/>
          <w:sz w:val="20"/>
          <w:szCs w:val="20"/>
        </w:rPr>
        <w:t>第七条</w:t>
      </w:r>
      <w:r w:rsidRPr="00D91259">
        <w:rPr>
          <w:rFonts w:ascii="微软雅黑" w:eastAsia="微软雅黑" w:hAnsi="微软雅黑" w:hint="eastAsia"/>
          <w:sz w:val="20"/>
          <w:szCs w:val="20"/>
        </w:rPr>
        <w:t xml:space="preserve"> 为保障全市住房供应、实</w:t>
      </w:r>
      <w:proofErr w:type="gramStart"/>
      <w:r w:rsidRPr="00D91259">
        <w:rPr>
          <w:rFonts w:ascii="微软雅黑" w:eastAsia="微软雅黑" w:hAnsi="微软雅黑" w:hint="eastAsia"/>
          <w:sz w:val="20"/>
          <w:szCs w:val="20"/>
        </w:rPr>
        <w:t>现职住</w:t>
      </w:r>
      <w:proofErr w:type="gramEnd"/>
      <w:r w:rsidRPr="00D91259">
        <w:rPr>
          <w:rFonts w:ascii="微软雅黑" w:eastAsia="微软雅黑" w:hAnsi="微软雅黑" w:hint="eastAsia"/>
          <w:sz w:val="20"/>
          <w:szCs w:val="20"/>
        </w:rPr>
        <w:t>平衡，在符合《深标》及不改变城市更新单元主导功能的前提下，转移容积、奖励容积须优先安排居住功能。</w:t>
      </w:r>
    </w:p>
    <w:p w:rsidR="008E7367" w:rsidRPr="00D91259" w:rsidRDefault="008E7367" w:rsidP="008E7367">
      <w:pPr>
        <w:spacing w:line="520" w:lineRule="exact"/>
        <w:ind w:firstLineChars="200" w:firstLine="400"/>
        <w:rPr>
          <w:rFonts w:ascii="微软雅黑" w:eastAsia="微软雅黑" w:hAnsi="微软雅黑"/>
          <w:sz w:val="20"/>
          <w:szCs w:val="20"/>
        </w:rPr>
      </w:pPr>
      <w:r w:rsidRPr="00D91259">
        <w:rPr>
          <w:rFonts w:ascii="微软雅黑" w:eastAsia="微软雅黑" w:hAnsi="微软雅黑" w:hint="eastAsia"/>
          <w:b/>
          <w:sz w:val="20"/>
          <w:szCs w:val="20"/>
        </w:rPr>
        <w:t>第八条</w:t>
      </w:r>
      <w:r w:rsidRPr="00D91259">
        <w:rPr>
          <w:rFonts w:ascii="微软雅黑" w:eastAsia="微软雅黑" w:hAnsi="微软雅黑" w:hint="eastAsia"/>
          <w:sz w:val="20"/>
          <w:szCs w:val="20"/>
        </w:rPr>
        <w:tab/>
        <w:t>2015年8月27日之前已批准列入更新计划的城中村、旧屋村规划容积率的审查可综合考虑住房回迁、项目可实施性等因素。在同时满足以下条件的情况下，可按照表1的净拆建比参考值对规划容积进行校核。</w:t>
      </w:r>
    </w:p>
    <w:p w:rsidR="008E7367" w:rsidRPr="00D91259" w:rsidRDefault="008E7367" w:rsidP="008E7367">
      <w:pPr>
        <w:spacing w:line="520" w:lineRule="exact"/>
        <w:ind w:firstLineChars="200" w:firstLine="400"/>
        <w:rPr>
          <w:rFonts w:ascii="微软雅黑" w:eastAsia="微软雅黑" w:hAnsi="微软雅黑"/>
          <w:sz w:val="20"/>
          <w:szCs w:val="20"/>
        </w:rPr>
      </w:pPr>
      <w:r w:rsidRPr="00D91259">
        <w:rPr>
          <w:rFonts w:ascii="微软雅黑" w:eastAsia="微软雅黑" w:hAnsi="微软雅黑" w:hint="eastAsia"/>
          <w:sz w:val="20"/>
          <w:szCs w:val="20"/>
        </w:rPr>
        <w:t>（一）拆除范围内现状容积率不低于2.5，现状建筑面积以经市规划</w:t>
      </w:r>
      <w:proofErr w:type="gramStart"/>
      <w:r w:rsidRPr="00D91259">
        <w:rPr>
          <w:rFonts w:ascii="微软雅黑" w:eastAsia="微软雅黑" w:hAnsi="微软雅黑" w:hint="eastAsia"/>
          <w:sz w:val="20"/>
          <w:szCs w:val="20"/>
        </w:rPr>
        <w:t>国土委</w:t>
      </w:r>
      <w:proofErr w:type="gramEnd"/>
      <w:r w:rsidRPr="00D91259">
        <w:rPr>
          <w:rFonts w:ascii="微软雅黑" w:eastAsia="微软雅黑" w:hAnsi="微软雅黑" w:hint="eastAsia"/>
          <w:sz w:val="20"/>
          <w:szCs w:val="20"/>
        </w:rPr>
        <w:t>地籍测绘大队确认的测量结果为准；</w:t>
      </w:r>
    </w:p>
    <w:p w:rsidR="008E7367" w:rsidRPr="00D91259" w:rsidRDefault="008E7367" w:rsidP="008E7367">
      <w:pPr>
        <w:spacing w:line="520" w:lineRule="exact"/>
        <w:ind w:firstLineChars="200" w:firstLine="400"/>
        <w:rPr>
          <w:rFonts w:ascii="微软雅黑" w:eastAsia="微软雅黑" w:hAnsi="微软雅黑"/>
          <w:sz w:val="20"/>
          <w:szCs w:val="20"/>
        </w:rPr>
      </w:pPr>
      <w:r w:rsidRPr="00D91259">
        <w:rPr>
          <w:rFonts w:ascii="微软雅黑" w:eastAsia="微软雅黑" w:hAnsi="微软雅黑" w:hint="eastAsia"/>
          <w:sz w:val="20"/>
          <w:szCs w:val="20"/>
        </w:rPr>
        <w:t>（二）城中村、旧屋村合法用地占拆除范围用地的比例原则上不低于70%。</w:t>
      </w:r>
    </w:p>
    <w:p w:rsidR="008E7367" w:rsidRPr="00D91259" w:rsidRDefault="008E7367" w:rsidP="008E7367">
      <w:pPr>
        <w:spacing w:line="520" w:lineRule="exact"/>
        <w:ind w:firstLineChars="200" w:firstLine="400"/>
        <w:rPr>
          <w:rFonts w:ascii="微软雅黑" w:eastAsia="微软雅黑" w:hAnsi="微软雅黑"/>
          <w:sz w:val="20"/>
          <w:szCs w:val="20"/>
        </w:rPr>
      </w:pPr>
    </w:p>
    <w:p w:rsidR="008E7367" w:rsidRPr="00D91259" w:rsidRDefault="008E7367" w:rsidP="008E7367">
      <w:pPr>
        <w:spacing w:line="520" w:lineRule="exact"/>
        <w:ind w:firstLineChars="200" w:firstLine="400"/>
        <w:rPr>
          <w:rFonts w:ascii="微软雅黑" w:eastAsia="微软雅黑" w:hAnsi="微软雅黑"/>
          <w:sz w:val="20"/>
          <w:szCs w:val="20"/>
        </w:rPr>
      </w:pPr>
      <w:r w:rsidRPr="00D91259">
        <w:rPr>
          <w:rFonts w:ascii="微软雅黑" w:eastAsia="微软雅黑" w:hAnsi="微软雅黑" w:hint="eastAsia"/>
          <w:sz w:val="20"/>
          <w:szCs w:val="20"/>
        </w:rPr>
        <w:t>表1净拆建比校核取值参考表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8"/>
        <w:gridCol w:w="4326"/>
      </w:tblGrid>
      <w:tr w:rsidR="008E7367" w:rsidRPr="00D91259" w:rsidTr="000B2E65">
        <w:trPr>
          <w:trHeight w:val="20"/>
          <w:jc w:val="center"/>
        </w:trPr>
        <w:tc>
          <w:tcPr>
            <w:tcW w:w="2805" w:type="pct"/>
            <w:shd w:val="clear" w:color="auto" w:fill="auto"/>
            <w:vAlign w:val="center"/>
          </w:tcPr>
          <w:p w:rsidR="008E7367" w:rsidRPr="00D91259" w:rsidRDefault="008E7367" w:rsidP="000B2E65">
            <w:pPr>
              <w:spacing w:line="520" w:lineRule="exact"/>
              <w:ind w:firstLineChars="200" w:firstLine="400"/>
              <w:rPr>
                <w:rFonts w:ascii="微软雅黑" w:eastAsia="微软雅黑" w:hAnsi="微软雅黑"/>
                <w:sz w:val="20"/>
                <w:szCs w:val="20"/>
              </w:rPr>
            </w:pPr>
            <w:r w:rsidRPr="00D91259">
              <w:rPr>
                <w:rFonts w:ascii="微软雅黑" w:eastAsia="微软雅黑" w:hAnsi="微软雅黑" w:hint="eastAsia"/>
                <w:sz w:val="20"/>
                <w:szCs w:val="20"/>
              </w:rPr>
              <w:t>拆除范围用地面积（公顷）</w:t>
            </w:r>
          </w:p>
        </w:tc>
        <w:tc>
          <w:tcPr>
            <w:tcW w:w="2195" w:type="pct"/>
            <w:shd w:val="clear" w:color="auto" w:fill="auto"/>
            <w:vAlign w:val="center"/>
          </w:tcPr>
          <w:p w:rsidR="008E7367" w:rsidRPr="00D91259" w:rsidRDefault="008E7367" w:rsidP="000B2E65">
            <w:pPr>
              <w:spacing w:line="520" w:lineRule="exact"/>
              <w:ind w:firstLineChars="200" w:firstLine="400"/>
              <w:rPr>
                <w:rFonts w:ascii="微软雅黑" w:eastAsia="微软雅黑" w:hAnsi="微软雅黑"/>
                <w:sz w:val="20"/>
                <w:szCs w:val="20"/>
              </w:rPr>
            </w:pPr>
            <w:r w:rsidRPr="00D91259">
              <w:rPr>
                <w:rFonts w:ascii="微软雅黑" w:eastAsia="微软雅黑" w:hAnsi="微软雅黑" w:hint="eastAsia"/>
                <w:sz w:val="20"/>
                <w:szCs w:val="20"/>
              </w:rPr>
              <w:t>净拆建比参考上限值</w:t>
            </w:r>
          </w:p>
        </w:tc>
      </w:tr>
      <w:tr w:rsidR="008E7367" w:rsidRPr="00D91259" w:rsidTr="000B2E65">
        <w:trPr>
          <w:trHeight w:val="20"/>
          <w:jc w:val="center"/>
        </w:trPr>
        <w:tc>
          <w:tcPr>
            <w:tcW w:w="2805" w:type="pct"/>
            <w:shd w:val="clear" w:color="auto" w:fill="auto"/>
            <w:vAlign w:val="center"/>
          </w:tcPr>
          <w:p w:rsidR="008E7367" w:rsidRPr="00D91259" w:rsidRDefault="008E7367" w:rsidP="000B2E65">
            <w:pPr>
              <w:spacing w:line="520" w:lineRule="exact"/>
              <w:ind w:firstLineChars="200" w:firstLine="400"/>
              <w:rPr>
                <w:rFonts w:ascii="微软雅黑" w:eastAsia="微软雅黑" w:hAnsi="微软雅黑"/>
                <w:sz w:val="20"/>
                <w:szCs w:val="20"/>
              </w:rPr>
            </w:pPr>
            <w:r w:rsidRPr="00D91259">
              <w:rPr>
                <w:rFonts w:ascii="微软雅黑" w:eastAsia="微软雅黑" w:hAnsi="微软雅黑" w:hint="eastAsia"/>
                <w:sz w:val="20"/>
                <w:szCs w:val="20"/>
              </w:rPr>
              <w:t>用地面积≤</w:t>
            </w:r>
            <w:r w:rsidRPr="00D91259">
              <w:rPr>
                <w:rFonts w:ascii="微软雅黑" w:eastAsia="微软雅黑" w:hAnsi="微软雅黑"/>
                <w:sz w:val="20"/>
                <w:szCs w:val="20"/>
              </w:rPr>
              <w:t xml:space="preserve">10 </w:t>
            </w:r>
          </w:p>
        </w:tc>
        <w:tc>
          <w:tcPr>
            <w:tcW w:w="2195" w:type="pct"/>
            <w:shd w:val="clear" w:color="auto" w:fill="auto"/>
            <w:vAlign w:val="center"/>
          </w:tcPr>
          <w:p w:rsidR="008E7367" w:rsidRPr="00D91259" w:rsidRDefault="008E7367" w:rsidP="000B2E65">
            <w:pPr>
              <w:spacing w:line="520" w:lineRule="exact"/>
              <w:ind w:firstLineChars="200" w:firstLine="400"/>
              <w:rPr>
                <w:rFonts w:ascii="微软雅黑" w:eastAsia="微软雅黑" w:hAnsi="微软雅黑"/>
                <w:sz w:val="20"/>
                <w:szCs w:val="20"/>
              </w:rPr>
            </w:pPr>
            <w:r w:rsidRPr="00D91259">
              <w:rPr>
                <w:rFonts w:ascii="微软雅黑" w:eastAsia="微软雅黑" w:hAnsi="微软雅黑"/>
                <w:sz w:val="20"/>
                <w:szCs w:val="20"/>
              </w:rPr>
              <w:t>1.9</w:t>
            </w:r>
          </w:p>
        </w:tc>
      </w:tr>
      <w:tr w:rsidR="008E7367" w:rsidRPr="00D91259" w:rsidTr="000B2E65">
        <w:trPr>
          <w:trHeight w:val="20"/>
          <w:jc w:val="center"/>
        </w:trPr>
        <w:tc>
          <w:tcPr>
            <w:tcW w:w="2805" w:type="pct"/>
            <w:shd w:val="clear" w:color="auto" w:fill="auto"/>
            <w:vAlign w:val="center"/>
          </w:tcPr>
          <w:p w:rsidR="008E7367" w:rsidRPr="00D91259" w:rsidRDefault="008E7367" w:rsidP="000B2E65">
            <w:pPr>
              <w:spacing w:line="520" w:lineRule="exact"/>
              <w:ind w:firstLineChars="200" w:firstLine="400"/>
              <w:rPr>
                <w:rFonts w:ascii="微软雅黑" w:eastAsia="微软雅黑" w:hAnsi="微软雅黑"/>
                <w:sz w:val="20"/>
                <w:szCs w:val="20"/>
              </w:rPr>
            </w:pPr>
            <w:r w:rsidRPr="00D91259">
              <w:rPr>
                <w:rFonts w:ascii="微软雅黑" w:eastAsia="微软雅黑" w:hAnsi="微软雅黑"/>
                <w:sz w:val="20"/>
                <w:szCs w:val="20"/>
              </w:rPr>
              <w:t xml:space="preserve">10＜用地面积≤20 </w:t>
            </w:r>
          </w:p>
        </w:tc>
        <w:tc>
          <w:tcPr>
            <w:tcW w:w="2195" w:type="pct"/>
            <w:shd w:val="clear" w:color="auto" w:fill="auto"/>
            <w:vAlign w:val="center"/>
          </w:tcPr>
          <w:p w:rsidR="008E7367" w:rsidRPr="00D91259" w:rsidRDefault="008E7367" w:rsidP="000B2E65">
            <w:pPr>
              <w:spacing w:line="520" w:lineRule="exact"/>
              <w:ind w:firstLineChars="200" w:firstLine="400"/>
              <w:rPr>
                <w:rFonts w:ascii="微软雅黑" w:eastAsia="微软雅黑" w:hAnsi="微软雅黑"/>
                <w:sz w:val="20"/>
                <w:szCs w:val="20"/>
              </w:rPr>
            </w:pPr>
            <w:r w:rsidRPr="00D91259">
              <w:rPr>
                <w:rFonts w:ascii="微软雅黑" w:eastAsia="微软雅黑" w:hAnsi="微软雅黑"/>
                <w:sz w:val="20"/>
                <w:szCs w:val="20"/>
              </w:rPr>
              <w:t>2.0</w:t>
            </w:r>
          </w:p>
        </w:tc>
      </w:tr>
      <w:tr w:rsidR="008E7367" w:rsidRPr="00D91259" w:rsidTr="000B2E65">
        <w:trPr>
          <w:trHeight w:val="20"/>
          <w:jc w:val="center"/>
        </w:trPr>
        <w:tc>
          <w:tcPr>
            <w:tcW w:w="2805" w:type="pct"/>
            <w:shd w:val="clear" w:color="auto" w:fill="auto"/>
            <w:vAlign w:val="center"/>
          </w:tcPr>
          <w:p w:rsidR="008E7367" w:rsidRPr="00D91259" w:rsidRDefault="008E7367" w:rsidP="000B2E65">
            <w:pPr>
              <w:spacing w:line="520" w:lineRule="exact"/>
              <w:ind w:firstLineChars="200" w:firstLine="400"/>
              <w:rPr>
                <w:rFonts w:ascii="微软雅黑" w:eastAsia="微软雅黑" w:hAnsi="微软雅黑"/>
                <w:sz w:val="20"/>
                <w:szCs w:val="20"/>
              </w:rPr>
            </w:pPr>
            <w:r w:rsidRPr="00D91259">
              <w:rPr>
                <w:rFonts w:ascii="微软雅黑" w:eastAsia="微软雅黑" w:hAnsi="微软雅黑"/>
                <w:sz w:val="20"/>
                <w:szCs w:val="20"/>
              </w:rPr>
              <w:t>20＜用地面积≤30</w:t>
            </w:r>
          </w:p>
        </w:tc>
        <w:tc>
          <w:tcPr>
            <w:tcW w:w="2195" w:type="pct"/>
            <w:shd w:val="clear" w:color="auto" w:fill="auto"/>
            <w:vAlign w:val="center"/>
          </w:tcPr>
          <w:p w:rsidR="008E7367" w:rsidRPr="00D91259" w:rsidRDefault="008E7367" w:rsidP="000B2E65">
            <w:pPr>
              <w:spacing w:line="520" w:lineRule="exact"/>
              <w:ind w:firstLineChars="200" w:firstLine="400"/>
              <w:rPr>
                <w:rFonts w:ascii="微软雅黑" w:eastAsia="微软雅黑" w:hAnsi="微软雅黑"/>
                <w:sz w:val="20"/>
                <w:szCs w:val="20"/>
              </w:rPr>
            </w:pPr>
            <w:r w:rsidRPr="00D91259">
              <w:rPr>
                <w:rFonts w:ascii="微软雅黑" w:eastAsia="微软雅黑" w:hAnsi="微软雅黑"/>
                <w:sz w:val="20"/>
                <w:szCs w:val="20"/>
              </w:rPr>
              <w:t>2.1</w:t>
            </w:r>
          </w:p>
        </w:tc>
      </w:tr>
      <w:tr w:rsidR="008E7367" w:rsidRPr="00D91259" w:rsidTr="000B2E65">
        <w:trPr>
          <w:trHeight w:val="20"/>
          <w:jc w:val="center"/>
        </w:trPr>
        <w:tc>
          <w:tcPr>
            <w:tcW w:w="2805" w:type="pct"/>
            <w:shd w:val="clear" w:color="auto" w:fill="auto"/>
            <w:vAlign w:val="center"/>
          </w:tcPr>
          <w:p w:rsidR="008E7367" w:rsidRPr="00D91259" w:rsidRDefault="008E7367" w:rsidP="000B2E65">
            <w:pPr>
              <w:spacing w:line="520" w:lineRule="exact"/>
              <w:ind w:firstLineChars="200" w:firstLine="400"/>
              <w:rPr>
                <w:rFonts w:ascii="微软雅黑" w:eastAsia="微软雅黑" w:hAnsi="微软雅黑"/>
                <w:sz w:val="20"/>
                <w:szCs w:val="20"/>
              </w:rPr>
            </w:pPr>
            <w:r w:rsidRPr="00D91259">
              <w:rPr>
                <w:rFonts w:ascii="微软雅黑" w:eastAsia="微软雅黑" w:hAnsi="微软雅黑"/>
                <w:sz w:val="20"/>
                <w:szCs w:val="20"/>
              </w:rPr>
              <w:t>30＜用地面积≤40</w:t>
            </w:r>
          </w:p>
        </w:tc>
        <w:tc>
          <w:tcPr>
            <w:tcW w:w="2195" w:type="pct"/>
            <w:shd w:val="clear" w:color="auto" w:fill="auto"/>
            <w:vAlign w:val="center"/>
          </w:tcPr>
          <w:p w:rsidR="008E7367" w:rsidRPr="00D91259" w:rsidRDefault="008E7367" w:rsidP="000B2E65">
            <w:pPr>
              <w:spacing w:line="520" w:lineRule="exact"/>
              <w:ind w:firstLineChars="200" w:firstLine="400"/>
              <w:rPr>
                <w:rFonts w:ascii="微软雅黑" w:eastAsia="微软雅黑" w:hAnsi="微软雅黑"/>
                <w:sz w:val="20"/>
                <w:szCs w:val="20"/>
              </w:rPr>
            </w:pPr>
            <w:r w:rsidRPr="00D91259">
              <w:rPr>
                <w:rFonts w:ascii="微软雅黑" w:eastAsia="微软雅黑" w:hAnsi="微软雅黑"/>
                <w:sz w:val="20"/>
                <w:szCs w:val="20"/>
              </w:rPr>
              <w:t>2.2</w:t>
            </w:r>
          </w:p>
        </w:tc>
      </w:tr>
      <w:tr w:rsidR="008E7367" w:rsidRPr="00D91259" w:rsidTr="000B2E65">
        <w:trPr>
          <w:trHeight w:val="20"/>
          <w:jc w:val="center"/>
        </w:trPr>
        <w:tc>
          <w:tcPr>
            <w:tcW w:w="2805" w:type="pct"/>
            <w:shd w:val="clear" w:color="auto" w:fill="auto"/>
            <w:vAlign w:val="center"/>
          </w:tcPr>
          <w:p w:rsidR="008E7367" w:rsidRPr="00D91259" w:rsidRDefault="008E7367" w:rsidP="000B2E65">
            <w:pPr>
              <w:spacing w:line="520" w:lineRule="exact"/>
              <w:ind w:firstLineChars="200" w:firstLine="400"/>
              <w:rPr>
                <w:rFonts w:ascii="微软雅黑" w:eastAsia="微软雅黑" w:hAnsi="微软雅黑"/>
                <w:sz w:val="20"/>
                <w:szCs w:val="20"/>
              </w:rPr>
            </w:pPr>
            <w:r w:rsidRPr="00D91259">
              <w:rPr>
                <w:rFonts w:ascii="微软雅黑" w:eastAsia="微软雅黑" w:hAnsi="微软雅黑" w:hint="eastAsia"/>
                <w:sz w:val="20"/>
                <w:szCs w:val="20"/>
              </w:rPr>
              <w:t>用地面积＞</w:t>
            </w:r>
            <w:r w:rsidRPr="00D91259">
              <w:rPr>
                <w:rFonts w:ascii="微软雅黑" w:eastAsia="微软雅黑" w:hAnsi="微软雅黑"/>
                <w:sz w:val="20"/>
                <w:szCs w:val="20"/>
              </w:rPr>
              <w:t xml:space="preserve">40 </w:t>
            </w:r>
          </w:p>
        </w:tc>
        <w:tc>
          <w:tcPr>
            <w:tcW w:w="2195" w:type="pct"/>
            <w:shd w:val="clear" w:color="auto" w:fill="auto"/>
            <w:vAlign w:val="center"/>
          </w:tcPr>
          <w:p w:rsidR="008E7367" w:rsidRPr="00D91259" w:rsidRDefault="008E7367" w:rsidP="000B2E65">
            <w:pPr>
              <w:spacing w:line="520" w:lineRule="exact"/>
              <w:ind w:firstLineChars="200" w:firstLine="400"/>
              <w:rPr>
                <w:rFonts w:ascii="微软雅黑" w:eastAsia="微软雅黑" w:hAnsi="微软雅黑"/>
                <w:sz w:val="20"/>
                <w:szCs w:val="20"/>
              </w:rPr>
            </w:pPr>
            <w:r w:rsidRPr="00D91259">
              <w:rPr>
                <w:rFonts w:ascii="微软雅黑" w:eastAsia="微软雅黑" w:hAnsi="微软雅黑"/>
                <w:sz w:val="20"/>
                <w:szCs w:val="20"/>
              </w:rPr>
              <w:t>2.3</w:t>
            </w:r>
          </w:p>
        </w:tc>
      </w:tr>
    </w:tbl>
    <w:p w:rsidR="008E7367" w:rsidRPr="00D91259" w:rsidRDefault="008E7367" w:rsidP="008E7367">
      <w:pPr>
        <w:spacing w:line="520" w:lineRule="exact"/>
        <w:ind w:firstLineChars="200" w:firstLine="400"/>
        <w:rPr>
          <w:rFonts w:ascii="微软雅黑" w:eastAsia="微软雅黑" w:hAnsi="微软雅黑"/>
          <w:sz w:val="20"/>
          <w:szCs w:val="20"/>
        </w:rPr>
      </w:pPr>
      <w:r w:rsidRPr="00D91259">
        <w:rPr>
          <w:rFonts w:ascii="微软雅黑" w:eastAsia="微软雅黑" w:hAnsi="微软雅黑" w:hint="eastAsia"/>
          <w:sz w:val="20"/>
          <w:szCs w:val="20"/>
        </w:rPr>
        <w:t>备注：净拆建比是指项目规划容积扣减政策性用房及公共配套设施、市政配套设施等建构筑物面积之后与拆除范围内现状建筑面积的比值。</w:t>
      </w:r>
    </w:p>
    <w:p w:rsidR="008E7367" w:rsidRPr="00D91259" w:rsidRDefault="008E7367" w:rsidP="008E7367">
      <w:pPr>
        <w:spacing w:line="520" w:lineRule="exact"/>
        <w:ind w:firstLineChars="200" w:firstLine="400"/>
        <w:rPr>
          <w:rFonts w:ascii="微软雅黑" w:eastAsia="微软雅黑" w:hAnsi="微软雅黑"/>
          <w:sz w:val="20"/>
          <w:szCs w:val="20"/>
        </w:rPr>
      </w:pPr>
    </w:p>
    <w:p w:rsidR="008E7367" w:rsidRPr="00D91259" w:rsidRDefault="008E7367" w:rsidP="008E7367">
      <w:pPr>
        <w:spacing w:line="520" w:lineRule="exact"/>
        <w:ind w:firstLineChars="200" w:firstLine="400"/>
        <w:rPr>
          <w:rFonts w:ascii="微软雅黑" w:eastAsia="微软雅黑" w:hAnsi="微软雅黑"/>
          <w:sz w:val="20"/>
          <w:szCs w:val="20"/>
        </w:rPr>
      </w:pPr>
      <w:r w:rsidRPr="00D91259">
        <w:rPr>
          <w:rFonts w:ascii="微软雅黑" w:eastAsia="微软雅黑" w:hAnsi="微软雅黑" w:hint="eastAsia"/>
          <w:sz w:val="20"/>
          <w:szCs w:val="20"/>
        </w:rPr>
        <w:t>对于现状容积率超过2.5的城中村、旧屋村，除因落实重大城市基础设施和公共服务设施的需要外，应审慎纳入拆除重建类城市更新。</w:t>
      </w:r>
    </w:p>
    <w:p w:rsidR="008E7367" w:rsidRPr="00D91259" w:rsidRDefault="008E7367" w:rsidP="008E7367">
      <w:pPr>
        <w:spacing w:line="520" w:lineRule="exact"/>
        <w:ind w:firstLineChars="200" w:firstLine="400"/>
        <w:rPr>
          <w:rFonts w:ascii="微软雅黑" w:eastAsia="微软雅黑" w:hAnsi="微软雅黑"/>
          <w:sz w:val="20"/>
          <w:szCs w:val="20"/>
        </w:rPr>
      </w:pPr>
      <w:r w:rsidRPr="00D91259">
        <w:rPr>
          <w:rFonts w:ascii="微软雅黑" w:eastAsia="微软雅黑" w:hAnsi="微软雅黑" w:hint="eastAsia"/>
          <w:b/>
          <w:sz w:val="20"/>
          <w:szCs w:val="20"/>
        </w:rPr>
        <w:lastRenderedPageBreak/>
        <w:t>第九条</w:t>
      </w:r>
      <w:r w:rsidRPr="00D91259">
        <w:rPr>
          <w:rFonts w:ascii="微软雅黑" w:eastAsia="微软雅黑" w:hAnsi="微软雅黑" w:hint="eastAsia"/>
          <w:sz w:val="20"/>
          <w:szCs w:val="20"/>
        </w:rPr>
        <w:t xml:space="preserve"> 除机场、码头、港口、核电站等特殊管理地区外，因城市规划调整而出现的密度分区未覆盖地区，用地位于一般地区的原则上应按照相邻片区同等密度分区确定；用地紧邻基本生态控制线等生态敏感地区，原则上应比相邻片区密度分区下降一区确定。密度分区内涉及特色风貌、生态敏感、核电防护、地质安全等因素的特定地块，应适当降低开发强度，通过开展专题研究地块容积及容积率，按程序批准确定。</w:t>
      </w:r>
    </w:p>
    <w:p w:rsidR="008E7367" w:rsidRPr="00D91259" w:rsidRDefault="008E7367" w:rsidP="008E7367">
      <w:pPr>
        <w:spacing w:line="520" w:lineRule="exact"/>
        <w:ind w:firstLineChars="200" w:firstLine="400"/>
        <w:rPr>
          <w:rFonts w:ascii="微软雅黑" w:eastAsia="微软雅黑" w:hAnsi="微软雅黑"/>
          <w:sz w:val="20"/>
          <w:szCs w:val="20"/>
        </w:rPr>
      </w:pPr>
      <w:r w:rsidRPr="00D91259">
        <w:rPr>
          <w:rFonts w:ascii="微软雅黑" w:eastAsia="微软雅黑" w:hAnsi="微软雅黑" w:hint="eastAsia"/>
          <w:b/>
          <w:sz w:val="20"/>
          <w:szCs w:val="20"/>
        </w:rPr>
        <w:t>第十条</w:t>
      </w:r>
      <w:r w:rsidRPr="00D91259">
        <w:rPr>
          <w:rFonts w:ascii="微软雅黑" w:eastAsia="微软雅黑" w:hAnsi="微软雅黑" w:hint="eastAsia"/>
          <w:sz w:val="20"/>
          <w:szCs w:val="20"/>
        </w:rPr>
        <w:t xml:space="preserve"> 规划容积的审查应按城市更新单元规划编制技术规定要求开展论证。规划容积应满足公共设施、交通设施、市政设施承载能力并符合机场净空、生态保护、特定城市设计等相关控制要求。</w:t>
      </w:r>
    </w:p>
    <w:p w:rsidR="008E7367" w:rsidRPr="00D91259" w:rsidRDefault="008E7367" w:rsidP="008E7367">
      <w:pPr>
        <w:spacing w:line="520" w:lineRule="exact"/>
        <w:ind w:firstLineChars="200" w:firstLine="400"/>
        <w:rPr>
          <w:rFonts w:ascii="微软雅黑" w:eastAsia="微软雅黑" w:hAnsi="微软雅黑"/>
          <w:sz w:val="20"/>
          <w:szCs w:val="20"/>
        </w:rPr>
      </w:pPr>
      <w:r w:rsidRPr="00D91259">
        <w:rPr>
          <w:rFonts w:ascii="微软雅黑" w:eastAsia="微软雅黑" w:hAnsi="微软雅黑" w:hint="eastAsia"/>
          <w:b/>
          <w:sz w:val="20"/>
          <w:szCs w:val="20"/>
        </w:rPr>
        <w:t>第十一条</w:t>
      </w:r>
      <w:r w:rsidRPr="00D91259">
        <w:rPr>
          <w:rFonts w:ascii="微软雅黑" w:eastAsia="微软雅黑" w:hAnsi="微软雅黑" w:hint="eastAsia"/>
          <w:sz w:val="20"/>
          <w:szCs w:val="20"/>
        </w:rPr>
        <w:t xml:space="preserve"> 在综合第三、四、五、六、七、八、九条规划容积核算和第十条规划技术论证的基础上，拟定规划容积并按法定程序批准确定。</w:t>
      </w:r>
    </w:p>
    <w:p w:rsidR="008E7367" w:rsidRPr="00D91259" w:rsidRDefault="008E7367" w:rsidP="008E7367">
      <w:pPr>
        <w:spacing w:line="520" w:lineRule="exact"/>
        <w:ind w:firstLineChars="200" w:firstLine="400"/>
        <w:rPr>
          <w:rFonts w:ascii="微软雅黑" w:eastAsia="微软雅黑" w:hAnsi="微软雅黑"/>
          <w:sz w:val="20"/>
          <w:szCs w:val="20"/>
        </w:rPr>
      </w:pPr>
      <w:r w:rsidRPr="00D91259">
        <w:rPr>
          <w:rFonts w:ascii="微软雅黑" w:eastAsia="微软雅黑" w:hAnsi="微软雅黑" w:hint="eastAsia"/>
          <w:b/>
          <w:sz w:val="20"/>
          <w:szCs w:val="20"/>
        </w:rPr>
        <w:t>第十二条</w:t>
      </w:r>
      <w:r w:rsidRPr="00D91259">
        <w:rPr>
          <w:rFonts w:ascii="微软雅黑" w:eastAsia="微软雅黑" w:hAnsi="微软雅黑" w:hint="eastAsia"/>
          <w:sz w:val="20"/>
          <w:szCs w:val="20"/>
        </w:rPr>
        <w:t xml:space="preserve"> 城市更新单元规划容积按照所在片区已批法定图则确定的建筑面积申报的，可直接依据法定图则确定。</w:t>
      </w:r>
    </w:p>
    <w:p w:rsidR="008E7367" w:rsidRPr="00D91259" w:rsidRDefault="008E7367" w:rsidP="008E7367">
      <w:pPr>
        <w:spacing w:line="520" w:lineRule="exact"/>
        <w:ind w:firstLineChars="200" w:firstLine="400"/>
        <w:rPr>
          <w:rFonts w:ascii="微软雅黑" w:eastAsia="微软雅黑" w:hAnsi="微软雅黑"/>
          <w:sz w:val="20"/>
          <w:szCs w:val="20"/>
        </w:rPr>
      </w:pPr>
      <w:r w:rsidRPr="00D91259">
        <w:rPr>
          <w:rFonts w:ascii="微软雅黑" w:eastAsia="微软雅黑" w:hAnsi="微软雅黑" w:hint="eastAsia"/>
          <w:b/>
          <w:sz w:val="20"/>
          <w:szCs w:val="20"/>
        </w:rPr>
        <w:t xml:space="preserve">第十三条 </w:t>
      </w:r>
      <w:r w:rsidRPr="00D91259">
        <w:rPr>
          <w:rFonts w:ascii="微软雅黑" w:eastAsia="微软雅黑" w:hAnsi="微软雅黑" w:hint="eastAsia"/>
          <w:sz w:val="20"/>
          <w:szCs w:val="20"/>
        </w:rPr>
        <w:t>对于通过主管部门审议并公示的城市更新单元规划，应严格控制规划容积的调整。</w:t>
      </w:r>
    </w:p>
    <w:p w:rsidR="008E7367" w:rsidRPr="00D91259" w:rsidRDefault="008E7367" w:rsidP="008E7367">
      <w:pPr>
        <w:spacing w:line="520" w:lineRule="exact"/>
        <w:ind w:firstLineChars="200" w:firstLine="400"/>
        <w:rPr>
          <w:rFonts w:ascii="微软雅黑" w:eastAsia="微软雅黑" w:hAnsi="微软雅黑"/>
          <w:sz w:val="20"/>
          <w:szCs w:val="20"/>
        </w:rPr>
      </w:pPr>
      <w:r w:rsidRPr="00D91259">
        <w:rPr>
          <w:rFonts w:ascii="微软雅黑" w:eastAsia="微软雅黑" w:hAnsi="微软雅黑" w:hint="eastAsia"/>
          <w:sz w:val="20"/>
          <w:szCs w:val="20"/>
        </w:rPr>
        <w:t>（一） 城市更新单元规划批准两年以内或已签订土地使用权出让合同的城市更新项目，原则上不予以调整已批规划容积。</w:t>
      </w:r>
    </w:p>
    <w:p w:rsidR="008E7367" w:rsidRPr="00D91259" w:rsidRDefault="008E7367" w:rsidP="008E7367">
      <w:pPr>
        <w:spacing w:line="520" w:lineRule="exact"/>
        <w:ind w:firstLineChars="200" w:firstLine="400"/>
        <w:rPr>
          <w:rFonts w:ascii="微软雅黑" w:eastAsia="微软雅黑" w:hAnsi="微软雅黑"/>
          <w:sz w:val="20"/>
          <w:szCs w:val="20"/>
        </w:rPr>
      </w:pPr>
      <w:r w:rsidRPr="00D91259">
        <w:rPr>
          <w:rFonts w:ascii="微软雅黑" w:eastAsia="微软雅黑" w:hAnsi="微软雅黑" w:hint="eastAsia"/>
          <w:sz w:val="20"/>
          <w:szCs w:val="20"/>
        </w:rPr>
        <w:t>（二）在上述（一）款情况外，符合《深标》及相关规范的前提下，属下列情形之一的，方可申请调整规划容积。</w:t>
      </w:r>
    </w:p>
    <w:p w:rsidR="008E7367" w:rsidRPr="00D91259" w:rsidRDefault="008E7367" w:rsidP="008E7367">
      <w:pPr>
        <w:spacing w:line="520" w:lineRule="exact"/>
        <w:ind w:firstLineChars="200" w:firstLine="400"/>
        <w:rPr>
          <w:rFonts w:ascii="微软雅黑" w:eastAsia="微软雅黑" w:hAnsi="微软雅黑"/>
          <w:sz w:val="20"/>
          <w:szCs w:val="20"/>
        </w:rPr>
      </w:pPr>
      <w:r w:rsidRPr="00D91259">
        <w:rPr>
          <w:rFonts w:ascii="微软雅黑" w:eastAsia="微软雅黑" w:hAnsi="微软雅黑" w:hint="eastAsia"/>
          <w:sz w:val="20"/>
          <w:szCs w:val="20"/>
        </w:rPr>
        <w:t>1、 因城市发展所需增配公共设施（含非营利性的民办学校）、交通设施、市政设施导致更新单元开发条件发生变化，且不增加经营性建筑面积的；</w:t>
      </w:r>
    </w:p>
    <w:p w:rsidR="008E7367" w:rsidRPr="00D91259" w:rsidRDefault="008E7367" w:rsidP="008E7367">
      <w:pPr>
        <w:spacing w:line="520" w:lineRule="exact"/>
        <w:ind w:firstLineChars="200" w:firstLine="400"/>
        <w:rPr>
          <w:rFonts w:ascii="微软雅黑" w:eastAsia="微软雅黑" w:hAnsi="微软雅黑"/>
          <w:sz w:val="20"/>
          <w:szCs w:val="20"/>
        </w:rPr>
      </w:pPr>
      <w:r w:rsidRPr="00D91259">
        <w:rPr>
          <w:rFonts w:ascii="微软雅黑" w:eastAsia="微软雅黑" w:hAnsi="微软雅黑" w:hint="eastAsia"/>
          <w:sz w:val="20"/>
          <w:szCs w:val="20"/>
        </w:rPr>
        <w:t>2、</w:t>
      </w:r>
      <w:proofErr w:type="gramStart"/>
      <w:r w:rsidRPr="00D91259">
        <w:rPr>
          <w:rFonts w:ascii="微软雅黑" w:eastAsia="微软雅黑" w:hAnsi="微软雅黑" w:hint="eastAsia"/>
          <w:sz w:val="20"/>
          <w:szCs w:val="20"/>
        </w:rPr>
        <w:t>因依据</w:t>
      </w:r>
      <w:proofErr w:type="gramEnd"/>
      <w:r w:rsidRPr="00D91259">
        <w:rPr>
          <w:rFonts w:ascii="微软雅黑" w:eastAsia="微软雅黑" w:hAnsi="微软雅黑" w:hint="eastAsia"/>
          <w:sz w:val="20"/>
          <w:szCs w:val="20"/>
        </w:rPr>
        <w:t>现行规定增配人才住房、保障性住房、人才公寓、创新型产业用房等城市公共利益项目且不增加项目经营性建筑面积的；</w:t>
      </w:r>
    </w:p>
    <w:p w:rsidR="008E7367" w:rsidRPr="00D91259" w:rsidRDefault="008E7367" w:rsidP="008E7367">
      <w:pPr>
        <w:spacing w:line="520" w:lineRule="exact"/>
        <w:ind w:firstLineChars="200" w:firstLine="400"/>
        <w:rPr>
          <w:rFonts w:ascii="微软雅黑" w:eastAsia="微软雅黑" w:hAnsi="微软雅黑"/>
          <w:sz w:val="20"/>
          <w:szCs w:val="20"/>
        </w:rPr>
      </w:pPr>
      <w:r w:rsidRPr="00D91259">
        <w:rPr>
          <w:rFonts w:ascii="微软雅黑" w:eastAsia="微软雅黑" w:hAnsi="微软雅黑" w:hint="eastAsia"/>
          <w:sz w:val="20"/>
          <w:szCs w:val="20"/>
        </w:rPr>
        <w:t>3、因产业转型升级需要，市政府明确支持项目提高容积率的；</w:t>
      </w:r>
    </w:p>
    <w:p w:rsidR="008E7367" w:rsidRPr="00D91259" w:rsidRDefault="008E7367" w:rsidP="008E7367">
      <w:pPr>
        <w:spacing w:line="520" w:lineRule="exact"/>
        <w:ind w:firstLineChars="200" w:firstLine="400"/>
        <w:rPr>
          <w:rFonts w:ascii="微软雅黑" w:eastAsia="微软雅黑" w:hAnsi="微软雅黑"/>
          <w:sz w:val="20"/>
          <w:szCs w:val="20"/>
        </w:rPr>
      </w:pPr>
      <w:r w:rsidRPr="00D91259">
        <w:rPr>
          <w:rFonts w:ascii="微软雅黑" w:eastAsia="微软雅黑" w:hAnsi="微软雅黑" w:hint="eastAsia"/>
          <w:sz w:val="20"/>
          <w:szCs w:val="20"/>
        </w:rPr>
        <w:t xml:space="preserve">4、因法定图则发生片区功能等重大变化导致更新单元开发条件变化的。 </w:t>
      </w:r>
    </w:p>
    <w:p w:rsidR="008E7367" w:rsidRPr="00D91259" w:rsidRDefault="008E7367" w:rsidP="008E7367">
      <w:pPr>
        <w:spacing w:line="520" w:lineRule="exact"/>
        <w:ind w:firstLineChars="200" w:firstLine="400"/>
        <w:rPr>
          <w:rFonts w:ascii="微软雅黑" w:eastAsia="微软雅黑" w:hAnsi="微软雅黑"/>
          <w:sz w:val="20"/>
          <w:szCs w:val="20"/>
        </w:rPr>
      </w:pPr>
      <w:r w:rsidRPr="00D91259">
        <w:rPr>
          <w:rFonts w:ascii="微软雅黑" w:eastAsia="微软雅黑" w:hAnsi="微软雅黑" w:hint="eastAsia"/>
          <w:sz w:val="20"/>
          <w:szCs w:val="20"/>
        </w:rPr>
        <w:t xml:space="preserve">上述1情形外，其它申请调整规划容积须严格按照现行规定，重新核定土地贡献率、政策性用房比例及配套设施建设责任，按照城市更新单元规划调整审批程序，报市城市规划委员会建筑与环境艺术委员会审批。 </w:t>
      </w:r>
    </w:p>
    <w:p w:rsidR="008E7367" w:rsidRPr="00D91259" w:rsidRDefault="008E7367" w:rsidP="008E7367">
      <w:pPr>
        <w:spacing w:line="520" w:lineRule="exact"/>
        <w:ind w:firstLineChars="200" w:firstLine="400"/>
        <w:rPr>
          <w:rFonts w:ascii="微软雅黑" w:eastAsia="微软雅黑" w:hAnsi="微软雅黑"/>
          <w:sz w:val="20"/>
          <w:szCs w:val="20"/>
        </w:rPr>
      </w:pPr>
      <w:r w:rsidRPr="00D91259">
        <w:rPr>
          <w:rFonts w:ascii="微软雅黑" w:eastAsia="微软雅黑" w:hAnsi="微软雅黑" w:hint="eastAsia"/>
          <w:sz w:val="20"/>
          <w:szCs w:val="20"/>
        </w:rPr>
        <w:t xml:space="preserve">上述4情形涉及增加经营性建筑面积的规划容积调整，相应增加的建筑面积地价按评估地价标准计收。 </w:t>
      </w:r>
    </w:p>
    <w:p w:rsidR="008E7367" w:rsidRPr="00D91259" w:rsidRDefault="008E7367" w:rsidP="008E7367">
      <w:pPr>
        <w:spacing w:line="520" w:lineRule="exact"/>
        <w:ind w:firstLineChars="200" w:firstLine="400"/>
        <w:rPr>
          <w:rFonts w:ascii="微软雅黑" w:eastAsia="微软雅黑" w:hAnsi="微软雅黑"/>
          <w:sz w:val="20"/>
          <w:szCs w:val="20"/>
        </w:rPr>
      </w:pPr>
      <w:r w:rsidRPr="00D91259">
        <w:rPr>
          <w:rFonts w:ascii="微软雅黑" w:eastAsia="微软雅黑" w:hAnsi="微软雅黑" w:hint="eastAsia"/>
          <w:b/>
          <w:sz w:val="20"/>
          <w:szCs w:val="20"/>
        </w:rPr>
        <w:t>第十四条</w:t>
      </w:r>
      <w:r w:rsidRPr="00D91259">
        <w:rPr>
          <w:rFonts w:ascii="微软雅黑" w:eastAsia="微软雅黑" w:hAnsi="微软雅黑" w:hint="eastAsia"/>
          <w:sz w:val="20"/>
          <w:szCs w:val="20"/>
        </w:rPr>
        <w:t xml:space="preserve"> 市政府另有规定规划容积可适当提高的其他情形，应按照相关规定程序批准确定。</w:t>
      </w:r>
    </w:p>
    <w:p w:rsidR="008E7367" w:rsidRPr="00D91259" w:rsidRDefault="008E7367" w:rsidP="008E7367">
      <w:pPr>
        <w:spacing w:line="520" w:lineRule="exact"/>
        <w:ind w:firstLineChars="200" w:firstLine="400"/>
        <w:rPr>
          <w:rFonts w:ascii="微软雅黑" w:eastAsia="微软雅黑" w:hAnsi="微软雅黑"/>
          <w:sz w:val="20"/>
          <w:szCs w:val="20"/>
        </w:rPr>
      </w:pPr>
      <w:r w:rsidRPr="00D91259">
        <w:rPr>
          <w:rFonts w:ascii="微软雅黑" w:eastAsia="微软雅黑" w:hAnsi="微软雅黑" w:hint="eastAsia"/>
          <w:b/>
          <w:sz w:val="20"/>
          <w:szCs w:val="20"/>
        </w:rPr>
        <w:t>第十五条</w:t>
      </w:r>
      <w:r w:rsidRPr="00D91259">
        <w:rPr>
          <w:rFonts w:ascii="微软雅黑" w:eastAsia="微软雅黑" w:hAnsi="微软雅黑" w:hint="eastAsia"/>
          <w:sz w:val="20"/>
          <w:szCs w:val="20"/>
        </w:rPr>
        <w:t xml:space="preserve">  本指引适用于以下四种情形的城市更新单元规划容积审查：</w:t>
      </w:r>
    </w:p>
    <w:p w:rsidR="008E7367" w:rsidRPr="00D91259" w:rsidRDefault="008E7367" w:rsidP="008E7367">
      <w:pPr>
        <w:spacing w:line="520" w:lineRule="exact"/>
        <w:ind w:firstLineChars="200" w:firstLine="400"/>
        <w:rPr>
          <w:rFonts w:ascii="微软雅黑" w:eastAsia="微软雅黑" w:hAnsi="微软雅黑"/>
          <w:sz w:val="20"/>
          <w:szCs w:val="20"/>
        </w:rPr>
      </w:pPr>
      <w:r w:rsidRPr="00D91259">
        <w:rPr>
          <w:rFonts w:ascii="微软雅黑" w:eastAsia="微软雅黑" w:hAnsi="微软雅黑" w:hint="eastAsia"/>
          <w:sz w:val="20"/>
          <w:szCs w:val="20"/>
        </w:rPr>
        <w:lastRenderedPageBreak/>
        <w:t>未通过主管部门审议的；</w:t>
      </w:r>
    </w:p>
    <w:p w:rsidR="008E7367" w:rsidRPr="00D91259" w:rsidRDefault="008E7367" w:rsidP="008E7367">
      <w:pPr>
        <w:spacing w:line="520" w:lineRule="exact"/>
        <w:ind w:firstLineChars="200" w:firstLine="400"/>
        <w:rPr>
          <w:rFonts w:ascii="微软雅黑" w:eastAsia="微软雅黑" w:hAnsi="微软雅黑"/>
          <w:sz w:val="20"/>
          <w:szCs w:val="20"/>
        </w:rPr>
      </w:pPr>
      <w:r w:rsidRPr="00D91259">
        <w:rPr>
          <w:rFonts w:ascii="微软雅黑" w:eastAsia="微软雅黑" w:hAnsi="微软雅黑" w:hint="eastAsia"/>
          <w:sz w:val="20"/>
          <w:szCs w:val="20"/>
        </w:rPr>
        <w:t>通过主管部门审议但未公示的；</w:t>
      </w:r>
    </w:p>
    <w:p w:rsidR="008E7367" w:rsidRPr="00D91259" w:rsidRDefault="008E7367" w:rsidP="008E7367">
      <w:pPr>
        <w:spacing w:line="520" w:lineRule="exact"/>
        <w:ind w:firstLineChars="200" w:firstLine="400"/>
        <w:rPr>
          <w:rFonts w:ascii="微软雅黑" w:eastAsia="微软雅黑" w:hAnsi="微软雅黑"/>
          <w:sz w:val="20"/>
          <w:szCs w:val="20"/>
        </w:rPr>
      </w:pPr>
      <w:r w:rsidRPr="00D91259">
        <w:rPr>
          <w:rFonts w:ascii="微软雅黑" w:eastAsia="微软雅黑" w:hAnsi="微软雅黑" w:hint="eastAsia"/>
          <w:sz w:val="20"/>
          <w:szCs w:val="20"/>
        </w:rPr>
        <w:t>通过主管部门审议并公示后申请规划容积调整的；</w:t>
      </w:r>
    </w:p>
    <w:p w:rsidR="008E7367" w:rsidRPr="00D91259" w:rsidRDefault="008E7367" w:rsidP="008E7367">
      <w:pPr>
        <w:spacing w:line="520" w:lineRule="exact"/>
        <w:ind w:firstLineChars="200" w:firstLine="400"/>
        <w:rPr>
          <w:rFonts w:ascii="微软雅黑" w:eastAsia="微软雅黑" w:hAnsi="微软雅黑"/>
          <w:sz w:val="20"/>
          <w:szCs w:val="20"/>
        </w:rPr>
      </w:pPr>
      <w:r w:rsidRPr="00D91259">
        <w:rPr>
          <w:rFonts w:ascii="微软雅黑" w:eastAsia="微软雅黑" w:hAnsi="微软雅黑" w:hint="eastAsia"/>
          <w:sz w:val="20"/>
          <w:szCs w:val="20"/>
        </w:rPr>
        <w:t>城市更新单元规划批准后申请规划容积调整的。</w:t>
      </w:r>
      <w:r w:rsidRPr="00D91259">
        <w:rPr>
          <w:rFonts w:ascii="微软雅黑" w:eastAsia="微软雅黑" w:hAnsi="微软雅黑"/>
          <w:sz w:val="20"/>
          <w:szCs w:val="20"/>
        </w:rPr>
        <w:t xml:space="preserve"> </w:t>
      </w:r>
    </w:p>
    <w:p w:rsidR="002953FC" w:rsidRPr="008E7367" w:rsidRDefault="008E7367" w:rsidP="008E7367">
      <w:pPr>
        <w:spacing w:line="520" w:lineRule="exact"/>
        <w:ind w:firstLineChars="200" w:firstLine="400"/>
        <w:rPr>
          <w:rFonts w:ascii="微软雅黑" w:eastAsia="微软雅黑" w:hAnsi="微软雅黑"/>
          <w:sz w:val="20"/>
          <w:szCs w:val="20"/>
        </w:rPr>
      </w:pPr>
      <w:r w:rsidRPr="00D91259">
        <w:rPr>
          <w:rFonts w:ascii="微软雅黑" w:eastAsia="微软雅黑" w:hAnsi="微软雅黑" w:hint="eastAsia"/>
          <w:b/>
          <w:sz w:val="20"/>
          <w:szCs w:val="20"/>
        </w:rPr>
        <w:t>第十六条</w:t>
      </w:r>
      <w:r w:rsidRPr="00D91259">
        <w:rPr>
          <w:rFonts w:ascii="微软雅黑" w:eastAsia="微软雅黑" w:hAnsi="微软雅黑" w:hint="eastAsia"/>
          <w:sz w:val="20"/>
          <w:szCs w:val="20"/>
        </w:rPr>
        <w:t xml:space="preserve">  本规定自公布施行之日起，原《深圳市城市更新单元规划容积率审查技术指引（试行）》、《市规划国土委关于适用&lt;深圳市城市更新单元规划容积率审查技术指引（试行）&gt;第七条规定的通知》、《市规划国土委关于加强已批准规划城市更新项目容积率管理的通知》同时废止。本指引解释权归深圳市城市更新局。</w:t>
      </w:r>
    </w:p>
    <w:sectPr w:rsidR="002953FC" w:rsidRPr="008E7367" w:rsidSect="0061124C">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567"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365" w:rsidRDefault="004C5365" w:rsidP="0082787A">
      <w:r>
        <w:separator/>
      </w:r>
    </w:p>
  </w:endnote>
  <w:endnote w:type="continuationSeparator" w:id="0">
    <w:p w:rsidR="004C5365" w:rsidRDefault="004C5365" w:rsidP="00827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微软雅黑">
    <w:panose1 w:val="020B0503020204020204"/>
    <w:charset w:val="86"/>
    <w:family w:val="swiss"/>
    <w:pitch w:val="variable"/>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24C" w:rsidRDefault="0061124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C28" w:rsidRDefault="00C43C28" w:rsidP="00C43C28">
    <w:pPr>
      <w:pStyle w:val="a6"/>
      <w:ind w:firstLineChars="3600" w:firstLine="6480"/>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24C" w:rsidRDefault="0061124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365" w:rsidRDefault="004C5365" w:rsidP="0082787A">
      <w:r>
        <w:separator/>
      </w:r>
    </w:p>
  </w:footnote>
  <w:footnote w:type="continuationSeparator" w:id="0">
    <w:p w:rsidR="004C5365" w:rsidRDefault="004C5365" w:rsidP="008278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24C" w:rsidRDefault="0061124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24C" w:rsidRDefault="0061124C" w:rsidP="0061124C">
    <w:pPr>
      <w:pStyle w:val="a5"/>
      <w:jc w:val="left"/>
    </w:pPr>
    <w:r>
      <w:rPr>
        <w:noProof/>
      </w:rPr>
      <w:drawing>
        <wp:inline distT="0" distB="0" distL="0" distR="0" wp14:anchorId="797AE40C" wp14:editId="7A8B86C8">
          <wp:extent cx="574040" cy="361315"/>
          <wp:effectExtent l="0" t="0" r="0" b="635"/>
          <wp:docPr id="3" name="图片 3" descr="汇编 版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汇编 版头"/>
                  <pic:cNvPicPr>
                    <a:picLocks noChangeAspect="1" noChangeArrowheads="1"/>
                  </pic:cNvPicPr>
                </pic:nvPicPr>
                <pic:blipFill>
                  <a:blip r:embed="rId1">
                    <a:extLst>
                      <a:ext uri="{28A0092B-C50C-407E-A947-70E740481C1C}">
                        <a14:useLocalDpi xmlns:a14="http://schemas.microsoft.com/office/drawing/2010/main" val="0"/>
                      </a:ext>
                    </a:extLst>
                  </a:blip>
                  <a:srcRect l="26666" t="41537"/>
                  <a:stretch>
                    <a:fillRect/>
                  </a:stretch>
                </pic:blipFill>
                <pic:spPr bwMode="auto">
                  <a:xfrm>
                    <a:off x="0" y="0"/>
                    <a:ext cx="574040" cy="361315"/>
                  </a:xfrm>
                  <a:prstGeom prst="rect">
                    <a:avLst/>
                  </a:prstGeom>
                  <a:noFill/>
                  <a:ln>
                    <a:noFill/>
                  </a:ln>
                </pic:spPr>
              </pic:pic>
            </a:graphicData>
          </a:graphic>
        </wp:inline>
      </w:drawing>
    </w:r>
  </w:p>
  <w:p w:rsidR="0061124C" w:rsidRDefault="0061124C" w:rsidP="0061124C">
    <w:pPr>
      <w:pStyle w:val="a5"/>
      <w:wordWrap w:val="0"/>
      <w:jc w:val="right"/>
    </w:pPr>
    <w:r>
      <w:rPr>
        <w:rFonts w:ascii="微软雅黑" w:eastAsia="微软雅黑" w:hAnsi="微软雅黑" w:hint="eastAsia"/>
        <w:color w:val="595959" w:themeColor="text1" w:themeTint="A6"/>
        <w:sz w:val="15"/>
        <w:szCs w:val="15"/>
      </w:rPr>
      <w:t>第二篇 城市更新操作流程</w:t>
    </w:r>
  </w:p>
  <w:p w:rsidR="004D7B69" w:rsidRPr="0061124C" w:rsidRDefault="004D7B69" w:rsidP="0061124C">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24C" w:rsidRDefault="0061124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decimal"/>
      <w:lvlText w:val="%1."/>
      <w:lvlJc w:val="left"/>
      <w:pPr>
        <w:ind w:left="391" w:hanging="420"/>
      </w:pPr>
    </w:lvl>
    <w:lvl w:ilvl="1">
      <w:start w:val="1"/>
      <w:numFmt w:val="lowerLetter"/>
      <w:lvlText w:val="%2)"/>
      <w:lvlJc w:val="left"/>
      <w:pPr>
        <w:ind w:left="811" w:hanging="420"/>
      </w:pPr>
    </w:lvl>
    <w:lvl w:ilvl="2">
      <w:start w:val="1"/>
      <w:numFmt w:val="lowerRoman"/>
      <w:lvlText w:val="%3."/>
      <w:lvlJc w:val="right"/>
      <w:pPr>
        <w:ind w:left="1231" w:hanging="420"/>
      </w:pPr>
    </w:lvl>
    <w:lvl w:ilvl="3">
      <w:start w:val="1"/>
      <w:numFmt w:val="decimal"/>
      <w:lvlText w:val="%4."/>
      <w:lvlJc w:val="left"/>
      <w:pPr>
        <w:ind w:left="1651" w:hanging="420"/>
      </w:pPr>
    </w:lvl>
    <w:lvl w:ilvl="4">
      <w:start w:val="1"/>
      <w:numFmt w:val="lowerLetter"/>
      <w:lvlText w:val="%5)"/>
      <w:lvlJc w:val="left"/>
      <w:pPr>
        <w:ind w:left="2071" w:hanging="420"/>
      </w:pPr>
    </w:lvl>
    <w:lvl w:ilvl="5">
      <w:start w:val="1"/>
      <w:numFmt w:val="lowerRoman"/>
      <w:lvlText w:val="%6."/>
      <w:lvlJc w:val="right"/>
      <w:pPr>
        <w:ind w:left="2491" w:hanging="420"/>
      </w:pPr>
    </w:lvl>
    <w:lvl w:ilvl="6">
      <w:start w:val="1"/>
      <w:numFmt w:val="decimal"/>
      <w:lvlText w:val="%7."/>
      <w:lvlJc w:val="left"/>
      <w:pPr>
        <w:ind w:left="2911" w:hanging="420"/>
      </w:pPr>
    </w:lvl>
    <w:lvl w:ilvl="7">
      <w:start w:val="1"/>
      <w:numFmt w:val="lowerLetter"/>
      <w:lvlText w:val="%8)"/>
      <w:lvlJc w:val="left"/>
      <w:pPr>
        <w:ind w:left="3331" w:hanging="420"/>
      </w:pPr>
    </w:lvl>
    <w:lvl w:ilvl="8">
      <w:start w:val="1"/>
      <w:numFmt w:val="lowerRoman"/>
      <w:lvlText w:val="%9."/>
      <w:lvlJc w:val="right"/>
      <w:pPr>
        <w:ind w:left="3751" w:hanging="420"/>
      </w:pPr>
    </w:lvl>
  </w:abstractNum>
  <w:abstractNum w:abstractNumId="1">
    <w:nsid w:val="00000004"/>
    <w:multiLevelType w:val="multilevel"/>
    <w:tmpl w:val="00000004"/>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780"/>
        </w:tabs>
        <w:ind w:left="780" w:hanging="360"/>
      </w:pPr>
      <w:rPr>
        <w:rFont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nsid w:val="00000005"/>
    <w:multiLevelType w:val="multilevel"/>
    <w:tmpl w:val="00000005"/>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840"/>
        </w:tabs>
        <w:ind w:left="840" w:hanging="420"/>
      </w:pPr>
      <w:rPr>
        <w:rFonts w:hint="default"/>
      </w:rPr>
    </w:lvl>
    <w:lvl w:ilvl="2">
      <w:start w:val="1"/>
      <w:numFmt w:val="decimal"/>
      <w:lvlText w:val="%3）"/>
      <w:lvlJc w:val="left"/>
      <w:pPr>
        <w:tabs>
          <w:tab w:val="num" w:pos="1200"/>
        </w:tabs>
        <w:ind w:left="1200" w:hanging="360"/>
      </w:pPr>
      <w:rPr>
        <w:rFonts w:hint="default"/>
      </w:rPr>
    </w:lvl>
    <w:lvl w:ilvl="3">
      <w:start w:val="2"/>
      <w:numFmt w:val="japaneseCounting"/>
      <w:lvlText w:val="%4、"/>
      <w:lvlJc w:val="left"/>
      <w:pPr>
        <w:ind w:left="1710" w:hanging="450"/>
      </w:pPr>
      <w:rPr>
        <w:rFonts w:cs="Times New Roman"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12"/>
    <w:multiLevelType w:val="multilevel"/>
    <w:tmpl w:val="00000012"/>
    <w:lvl w:ilvl="0">
      <w:start w:val="1"/>
      <w:numFmt w:val="decimal"/>
      <w:lvlText w:val="%1）"/>
      <w:lvlJc w:val="left"/>
      <w:pPr>
        <w:tabs>
          <w:tab w:val="num" w:pos="420"/>
        </w:tabs>
        <w:ind w:left="420" w:hanging="420"/>
      </w:pPr>
      <w:rPr>
        <w:rFonts w:ascii="宋体" w:eastAsia="宋体" w:hAnsi="宋体" w:hint="eastAsia"/>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15"/>
    <w:multiLevelType w:val="multilevel"/>
    <w:tmpl w:val="00000015"/>
    <w:lvl w:ilvl="0">
      <w:start w:val="1"/>
      <w:numFmt w:val="decimal"/>
      <w:lvlText w:val="%1．"/>
      <w:lvlJc w:val="left"/>
      <w:pPr>
        <w:tabs>
          <w:tab w:val="num" w:pos="0"/>
        </w:tabs>
        <w:ind w:left="0" w:hanging="360"/>
      </w:pPr>
      <w:rPr>
        <w:rFonts w:hint="default"/>
      </w:rPr>
    </w:lvl>
    <w:lvl w:ilvl="1">
      <w:start w:val="1"/>
      <w:numFmt w:val="lowerLetter"/>
      <w:lvlText w:val="%2)"/>
      <w:lvlJc w:val="left"/>
      <w:pPr>
        <w:tabs>
          <w:tab w:val="num" w:pos="480"/>
        </w:tabs>
        <w:ind w:left="480" w:hanging="420"/>
      </w:pPr>
    </w:lvl>
    <w:lvl w:ilvl="2">
      <w:start w:val="1"/>
      <w:numFmt w:val="lowerRoman"/>
      <w:lvlText w:val="%3."/>
      <w:lvlJc w:val="right"/>
      <w:pPr>
        <w:tabs>
          <w:tab w:val="num" w:pos="900"/>
        </w:tabs>
        <w:ind w:left="900" w:hanging="420"/>
      </w:pPr>
    </w:lvl>
    <w:lvl w:ilvl="3">
      <w:start w:val="1"/>
      <w:numFmt w:val="decimal"/>
      <w:lvlText w:val="%4."/>
      <w:lvlJc w:val="left"/>
      <w:pPr>
        <w:tabs>
          <w:tab w:val="num" w:pos="1320"/>
        </w:tabs>
        <w:ind w:left="1320" w:hanging="420"/>
      </w:pPr>
    </w:lvl>
    <w:lvl w:ilvl="4">
      <w:start w:val="1"/>
      <w:numFmt w:val="lowerLetter"/>
      <w:lvlText w:val="%5)"/>
      <w:lvlJc w:val="left"/>
      <w:pPr>
        <w:tabs>
          <w:tab w:val="num" w:pos="1740"/>
        </w:tabs>
        <w:ind w:left="1740" w:hanging="420"/>
      </w:pPr>
    </w:lvl>
    <w:lvl w:ilvl="5">
      <w:start w:val="1"/>
      <w:numFmt w:val="lowerRoman"/>
      <w:lvlText w:val="%6."/>
      <w:lvlJc w:val="right"/>
      <w:pPr>
        <w:tabs>
          <w:tab w:val="num" w:pos="2160"/>
        </w:tabs>
        <w:ind w:left="2160" w:hanging="420"/>
      </w:pPr>
    </w:lvl>
    <w:lvl w:ilvl="6">
      <w:start w:val="1"/>
      <w:numFmt w:val="decimal"/>
      <w:lvlText w:val="%7."/>
      <w:lvlJc w:val="left"/>
      <w:pPr>
        <w:tabs>
          <w:tab w:val="num" w:pos="2580"/>
        </w:tabs>
        <w:ind w:left="2580" w:hanging="420"/>
      </w:pPr>
    </w:lvl>
    <w:lvl w:ilvl="7">
      <w:start w:val="1"/>
      <w:numFmt w:val="lowerLetter"/>
      <w:lvlText w:val="%8)"/>
      <w:lvlJc w:val="left"/>
      <w:pPr>
        <w:tabs>
          <w:tab w:val="num" w:pos="3000"/>
        </w:tabs>
        <w:ind w:left="3000" w:hanging="420"/>
      </w:pPr>
    </w:lvl>
    <w:lvl w:ilvl="8">
      <w:start w:val="1"/>
      <w:numFmt w:val="lowerRoman"/>
      <w:lvlText w:val="%9."/>
      <w:lvlJc w:val="right"/>
      <w:pPr>
        <w:tabs>
          <w:tab w:val="num" w:pos="3420"/>
        </w:tabs>
        <w:ind w:left="3420" w:hanging="420"/>
      </w:pPr>
    </w:lvl>
  </w:abstractNum>
  <w:abstractNum w:abstractNumId="5">
    <w:nsid w:val="038A6208"/>
    <w:multiLevelType w:val="hybridMultilevel"/>
    <w:tmpl w:val="E27A0B62"/>
    <w:lvl w:ilvl="0" w:tplc="AE78E48E">
      <w:start w:val="1"/>
      <w:numFmt w:val="japaneseCounting"/>
      <w:lvlText w:val="（%1）"/>
      <w:lvlJc w:val="left"/>
      <w:pPr>
        <w:ind w:left="2235" w:hanging="159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6">
    <w:nsid w:val="09040130"/>
    <w:multiLevelType w:val="hybridMultilevel"/>
    <w:tmpl w:val="DD42D452"/>
    <w:lvl w:ilvl="0" w:tplc="27486980">
      <w:start w:val="1"/>
      <w:numFmt w:val="decimal"/>
      <w:lvlText w:val="（%1）"/>
      <w:lvlJc w:val="left"/>
      <w:pPr>
        <w:ind w:left="1560" w:hanging="1080"/>
      </w:pPr>
      <w:rPr>
        <w:rFonts w:hint="default"/>
        <w:color w:val="auto"/>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0C4975D4"/>
    <w:multiLevelType w:val="hybridMultilevel"/>
    <w:tmpl w:val="686EA15E"/>
    <w:lvl w:ilvl="0" w:tplc="C07C0BD6">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07D4AAA"/>
    <w:multiLevelType w:val="hybridMultilevel"/>
    <w:tmpl w:val="C0ECB676"/>
    <w:lvl w:ilvl="0" w:tplc="7402CB0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4C337B1"/>
    <w:multiLevelType w:val="hybridMultilevel"/>
    <w:tmpl w:val="2990E5D4"/>
    <w:lvl w:ilvl="0" w:tplc="AE8CA83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4FD5278"/>
    <w:multiLevelType w:val="hybridMultilevel"/>
    <w:tmpl w:val="269C8A8A"/>
    <w:lvl w:ilvl="0" w:tplc="D6E469C4">
      <w:start w:val="1"/>
      <w:numFmt w:val="japaneseCounting"/>
      <w:lvlText w:val="（%1）"/>
      <w:lvlJc w:val="left"/>
      <w:pPr>
        <w:ind w:left="1110" w:hanging="720"/>
      </w:pPr>
      <w:rPr>
        <w:rFonts w:hint="default"/>
      </w:rPr>
    </w:lvl>
    <w:lvl w:ilvl="1" w:tplc="04090019" w:tentative="1">
      <w:start w:val="1"/>
      <w:numFmt w:val="lowerLetter"/>
      <w:lvlText w:val="%2)"/>
      <w:lvlJc w:val="left"/>
      <w:pPr>
        <w:ind w:left="1230" w:hanging="420"/>
      </w:pPr>
    </w:lvl>
    <w:lvl w:ilvl="2" w:tplc="0409001B" w:tentative="1">
      <w:start w:val="1"/>
      <w:numFmt w:val="lowerRoman"/>
      <w:lvlText w:val="%3."/>
      <w:lvlJc w:val="right"/>
      <w:pPr>
        <w:ind w:left="1650" w:hanging="420"/>
      </w:pPr>
    </w:lvl>
    <w:lvl w:ilvl="3" w:tplc="0409000F" w:tentative="1">
      <w:start w:val="1"/>
      <w:numFmt w:val="decimal"/>
      <w:lvlText w:val="%4."/>
      <w:lvlJc w:val="left"/>
      <w:pPr>
        <w:ind w:left="2070" w:hanging="420"/>
      </w:pPr>
    </w:lvl>
    <w:lvl w:ilvl="4" w:tplc="04090019" w:tentative="1">
      <w:start w:val="1"/>
      <w:numFmt w:val="lowerLetter"/>
      <w:lvlText w:val="%5)"/>
      <w:lvlJc w:val="left"/>
      <w:pPr>
        <w:ind w:left="2490" w:hanging="420"/>
      </w:pPr>
    </w:lvl>
    <w:lvl w:ilvl="5" w:tplc="0409001B" w:tentative="1">
      <w:start w:val="1"/>
      <w:numFmt w:val="lowerRoman"/>
      <w:lvlText w:val="%6."/>
      <w:lvlJc w:val="right"/>
      <w:pPr>
        <w:ind w:left="2910" w:hanging="420"/>
      </w:pPr>
    </w:lvl>
    <w:lvl w:ilvl="6" w:tplc="0409000F" w:tentative="1">
      <w:start w:val="1"/>
      <w:numFmt w:val="decimal"/>
      <w:lvlText w:val="%7."/>
      <w:lvlJc w:val="left"/>
      <w:pPr>
        <w:ind w:left="3330" w:hanging="420"/>
      </w:pPr>
    </w:lvl>
    <w:lvl w:ilvl="7" w:tplc="04090019" w:tentative="1">
      <w:start w:val="1"/>
      <w:numFmt w:val="lowerLetter"/>
      <w:lvlText w:val="%8)"/>
      <w:lvlJc w:val="left"/>
      <w:pPr>
        <w:ind w:left="3750" w:hanging="420"/>
      </w:pPr>
    </w:lvl>
    <w:lvl w:ilvl="8" w:tplc="0409001B" w:tentative="1">
      <w:start w:val="1"/>
      <w:numFmt w:val="lowerRoman"/>
      <w:lvlText w:val="%9."/>
      <w:lvlJc w:val="right"/>
      <w:pPr>
        <w:ind w:left="4170" w:hanging="420"/>
      </w:pPr>
    </w:lvl>
  </w:abstractNum>
  <w:abstractNum w:abstractNumId="11">
    <w:nsid w:val="21F902AD"/>
    <w:multiLevelType w:val="hybridMultilevel"/>
    <w:tmpl w:val="65CA8D7E"/>
    <w:lvl w:ilvl="0" w:tplc="0D72169A">
      <w:start w:val="1"/>
      <w:numFmt w:val="decimal"/>
      <w:lvlText w:val="%1）"/>
      <w:lvlJc w:val="left"/>
      <w:pPr>
        <w:ind w:left="360" w:hanging="360"/>
      </w:pPr>
      <w:rPr>
        <w:rFonts w:ascii="宋体" w:eastAsia="Times New Roman" w:hAnsi="宋体" w:hint="eastAsia"/>
        <w:b/>
        <w:color w:val="auto"/>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nsid w:val="2731423C"/>
    <w:multiLevelType w:val="hybridMultilevel"/>
    <w:tmpl w:val="6F163BAA"/>
    <w:lvl w:ilvl="0" w:tplc="5E44B07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2E471981"/>
    <w:multiLevelType w:val="hybridMultilevel"/>
    <w:tmpl w:val="26BC7480"/>
    <w:lvl w:ilvl="0" w:tplc="66368022">
      <w:start w:val="1"/>
      <w:numFmt w:val="japaneseCounting"/>
      <w:lvlText w:val="（%1）"/>
      <w:lvlJc w:val="left"/>
      <w:pPr>
        <w:ind w:left="2235" w:hanging="159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4">
    <w:nsid w:val="39CC7641"/>
    <w:multiLevelType w:val="hybridMultilevel"/>
    <w:tmpl w:val="388E11E8"/>
    <w:lvl w:ilvl="0" w:tplc="EBD4D56C">
      <w:start w:val="1"/>
      <w:numFmt w:val="japaneseCounting"/>
      <w:lvlText w:val="第%1章"/>
      <w:lvlJc w:val="left"/>
      <w:pPr>
        <w:ind w:left="1485" w:hanging="1485"/>
      </w:pPr>
      <w:rPr>
        <w:rFonts w:hint="default"/>
        <w:b/>
        <w:i w:val="0"/>
        <w:sz w:val="3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18779B3"/>
    <w:multiLevelType w:val="hybridMultilevel"/>
    <w:tmpl w:val="7ECE2FCE"/>
    <w:lvl w:ilvl="0" w:tplc="B672E9D6">
      <w:start w:val="1"/>
      <w:numFmt w:val="japaneseCounting"/>
      <w:lvlText w:val="（%1）"/>
      <w:lvlJc w:val="left"/>
      <w:pPr>
        <w:ind w:left="1725" w:hanging="108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6">
    <w:nsid w:val="52C77404"/>
    <w:multiLevelType w:val="hybridMultilevel"/>
    <w:tmpl w:val="B18E2916"/>
    <w:lvl w:ilvl="0" w:tplc="F7BC78D2">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7">
    <w:nsid w:val="554F78C7"/>
    <w:multiLevelType w:val="hybridMultilevel"/>
    <w:tmpl w:val="A0E62D48"/>
    <w:lvl w:ilvl="0" w:tplc="70329FE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FF453EE"/>
    <w:multiLevelType w:val="hybridMultilevel"/>
    <w:tmpl w:val="1C2E574E"/>
    <w:lvl w:ilvl="0" w:tplc="46F0DF46">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4A43039"/>
    <w:multiLevelType w:val="hybridMultilevel"/>
    <w:tmpl w:val="4FAC0BE8"/>
    <w:lvl w:ilvl="0" w:tplc="FE5E21C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nsid w:val="6EF873AC"/>
    <w:multiLevelType w:val="hybridMultilevel"/>
    <w:tmpl w:val="F07E9E36"/>
    <w:lvl w:ilvl="0" w:tplc="8F369D0E">
      <w:start w:val="1"/>
      <w:numFmt w:val="decimalEnclosedCircle"/>
      <w:lvlText w:val="%1"/>
      <w:lvlJc w:val="left"/>
      <w:pPr>
        <w:ind w:left="360" w:hanging="360"/>
      </w:pPr>
      <w:rPr>
        <w:rFonts w:ascii="宋体" w:eastAsia="宋体" w:hAnsi="宋体"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5411407"/>
    <w:multiLevelType w:val="hybridMultilevel"/>
    <w:tmpl w:val="2248A87E"/>
    <w:lvl w:ilvl="0" w:tplc="68F87230">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nsid w:val="7AAF62C6"/>
    <w:multiLevelType w:val="hybridMultilevel"/>
    <w:tmpl w:val="C4627BA4"/>
    <w:lvl w:ilvl="0" w:tplc="B6685888">
      <w:start w:val="1"/>
      <w:numFmt w:val="japaneseCounting"/>
      <w:lvlText w:val="第%1章"/>
      <w:lvlJc w:val="left"/>
      <w:pPr>
        <w:ind w:left="1929" w:hanging="795"/>
      </w:pPr>
      <w:rPr>
        <w:rFonts w:hint="default"/>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num w:numId="1">
    <w:abstractNumId w:val="17"/>
  </w:num>
  <w:num w:numId="2">
    <w:abstractNumId w:val="1"/>
  </w:num>
  <w:num w:numId="3">
    <w:abstractNumId w:val="2"/>
  </w:num>
  <w:num w:numId="4">
    <w:abstractNumId w:val="4"/>
  </w:num>
  <w:num w:numId="5">
    <w:abstractNumId w:val="3"/>
  </w:num>
  <w:num w:numId="6">
    <w:abstractNumId w:val="0"/>
  </w:num>
  <w:num w:numId="7">
    <w:abstractNumId w:val="18"/>
  </w:num>
  <w:num w:numId="8">
    <w:abstractNumId w:val="7"/>
  </w:num>
  <w:num w:numId="9">
    <w:abstractNumId w:val="19"/>
  </w:num>
  <w:num w:numId="10">
    <w:abstractNumId w:val="16"/>
  </w:num>
  <w:num w:numId="11">
    <w:abstractNumId w:val="21"/>
  </w:num>
  <w:num w:numId="12">
    <w:abstractNumId w:val="12"/>
  </w:num>
  <w:num w:numId="13">
    <w:abstractNumId w:val="6"/>
  </w:num>
  <w:num w:numId="14">
    <w:abstractNumId w:val="14"/>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5"/>
  </w:num>
  <w:num w:numId="18">
    <w:abstractNumId w:val="5"/>
  </w:num>
  <w:num w:numId="19">
    <w:abstractNumId w:val="13"/>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8"/>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B04F82"/>
    <w:rsid w:val="00021A87"/>
    <w:rsid w:val="00080FE1"/>
    <w:rsid w:val="000B478B"/>
    <w:rsid w:val="0014354E"/>
    <w:rsid w:val="001555DB"/>
    <w:rsid w:val="00186459"/>
    <w:rsid w:val="001A2CE0"/>
    <w:rsid w:val="001A5BA5"/>
    <w:rsid w:val="001B25E1"/>
    <w:rsid w:val="002953FC"/>
    <w:rsid w:val="002A20E2"/>
    <w:rsid w:val="002D6CA0"/>
    <w:rsid w:val="003656F0"/>
    <w:rsid w:val="003F1245"/>
    <w:rsid w:val="004C5365"/>
    <w:rsid w:val="004D7B69"/>
    <w:rsid w:val="005305BA"/>
    <w:rsid w:val="005962BC"/>
    <w:rsid w:val="005A6DB4"/>
    <w:rsid w:val="005C7C12"/>
    <w:rsid w:val="005D62A8"/>
    <w:rsid w:val="0061124C"/>
    <w:rsid w:val="00644100"/>
    <w:rsid w:val="006D62B0"/>
    <w:rsid w:val="00741E37"/>
    <w:rsid w:val="00750387"/>
    <w:rsid w:val="007B7DE8"/>
    <w:rsid w:val="007D292E"/>
    <w:rsid w:val="007E10E3"/>
    <w:rsid w:val="0082787A"/>
    <w:rsid w:val="008306ED"/>
    <w:rsid w:val="00834074"/>
    <w:rsid w:val="00876E95"/>
    <w:rsid w:val="008E7367"/>
    <w:rsid w:val="00922831"/>
    <w:rsid w:val="009C3BBC"/>
    <w:rsid w:val="009D3553"/>
    <w:rsid w:val="00A2308B"/>
    <w:rsid w:val="00A625A1"/>
    <w:rsid w:val="00AA57E8"/>
    <w:rsid w:val="00AC3379"/>
    <w:rsid w:val="00AC4F1F"/>
    <w:rsid w:val="00B01CC5"/>
    <w:rsid w:val="00C43C28"/>
    <w:rsid w:val="00C66CF9"/>
    <w:rsid w:val="00C6704B"/>
    <w:rsid w:val="00CF4BF3"/>
    <w:rsid w:val="00D83410"/>
    <w:rsid w:val="00D96622"/>
    <w:rsid w:val="00F15316"/>
    <w:rsid w:val="00F87F63"/>
    <w:rsid w:val="00FA528A"/>
    <w:rsid w:val="00FB3FEC"/>
    <w:rsid w:val="00FC177A"/>
    <w:rsid w:val="201E1886"/>
    <w:rsid w:val="35B04F82"/>
    <w:rsid w:val="3DFE19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uiPriority w:val="9"/>
    <w:qFormat/>
    <w:rsid w:val="003656F0"/>
    <w:pPr>
      <w:keepNext/>
      <w:keepLines/>
      <w:tabs>
        <w:tab w:val="left" w:pos="480"/>
      </w:tabs>
      <w:spacing w:beforeLines="100" w:before="312" w:afterLines="50" w:after="156" w:line="360" w:lineRule="auto"/>
      <w:ind w:firstLineChars="200" w:firstLine="200"/>
      <w:jc w:val="left"/>
      <w:outlineLvl w:val="0"/>
    </w:pPr>
    <w:rPr>
      <w:rFonts w:ascii="Calibri" w:eastAsia="黑体" w:hAnsi="Calibri" w:cs="Times New Roman"/>
      <w:b/>
      <w:bCs/>
      <w:kern w:val="44"/>
      <w:sz w:val="30"/>
      <w:szCs w:val="44"/>
      <w:lang w:val="x-none" w:eastAsia="x-none"/>
    </w:rPr>
  </w:style>
  <w:style w:type="paragraph" w:styleId="2">
    <w:name w:val="heading 2"/>
    <w:basedOn w:val="a"/>
    <w:next w:val="a"/>
    <w:link w:val="2Char"/>
    <w:uiPriority w:val="9"/>
    <w:qFormat/>
    <w:rsid w:val="003656F0"/>
    <w:pPr>
      <w:keepNext/>
      <w:keepLines/>
      <w:spacing w:beforeLines="50" w:before="156" w:afterLines="50" w:after="156" w:line="400" w:lineRule="atLeast"/>
      <w:ind w:firstLineChars="200" w:firstLine="200"/>
      <w:outlineLvl w:val="1"/>
    </w:pPr>
    <w:rPr>
      <w:rFonts w:ascii="Arial" w:eastAsia="宋体" w:hAnsi="Arial" w:cs="Times New Roman"/>
      <w:b/>
      <w:bCs/>
      <w:kern w:val="0"/>
      <w:sz w:val="24"/>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paragraph" w:styleId="a5">
    <w:name w:val="header"/>
    <w:basedOn w:val="a"/>
    <w:link w:val="Char"/>
    <w:rsid w:val="008278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82787A"/>
    <w:rPr>
      <w:rFonts w:asciiTheme="minorHAnsi" w:eastAsiaTheme="minorEastAsia" w:hAnsiTheme="minorHAnsi" w:cstheme="minorBidi"/>
      <w:kern w:val="2"/>
      <w:sz w:val="18"/>
      <w:szCs w:val="18"/>
    </w:rPr>
  </w:style>
  <w:style w:type="paragraph" w:styleId="a6">
    <w:name w:val="footer"/>
    <w:basedOn w:val="a"/>
    <w:link w:val="Char0"/>
    <w:uiPriority w:val="99"/>
    <w:rsid w:val="0082787A"/>
    <w:pPr>
      <w:tabs>
        <w:tab w:val="center" w:pos="4153"/>
        <w:tab w:val="right" w:pos="8306"/>
      </w:tabs>
      <w:snapToGrid w:val="0"/>
      <w:jc w:val="left"/>
    </w:pPr>
    <w:rPr>
      <w:sz w:val="18"/>
      <w:szCs w:val="18"/>
    </w:rPr>
  </w:style>
  <w:style w:type="character" w:customStyle="1" w:styleId="Char0">
    <w:name w:val="页脚 Char"/>
    <w:basedOn w:val="a0"/>
    <w:link w:val="a6"/>
    <w:uiPriority w:val="99"/>
    <w:rsid w:val="0082787A"/>
    <w:rPr>
      <w:rFonts w:asciiTheme="minorHAnsi" w:eastAsiaTheme="minorEastAsia" w:hAnsiTheme="minorHAnsi" w:cstheme="minorBidi"/>
      <w:kern w:val="2"/>
      <w:sz w:val="18"/>
      <w:szCs w:val="18"/>
    </w:rPr>
  </w:style>
  <w:style w:type="paragraph" w:styleId="a7">
    <w:name w:val="Balloon Text"/>
    <w:basedOn w:val="a"/>
    <w:link w:val="Char1"/>
    <w:uiPriority w:val="99"/>
    <w:rsid w:val="004D7B69"/>
    <w:rPr>
      <w:sz w:val="18"/>
      <w:szCs w:val="18"/>
    </w:rPr>
  </w:style>
  <w:style w:type="character" w:customStyle="1" w:styleId="Char1">
    <w:name w:val="批注框文本 Char"/>
    <w:basedOn w:val="a0"/>
    <w:link w:val="a7"/>
    <w:uiPriority w:val="99"/>
    <w:rsid w:val="004D7B69"/>
    <w:rPr>
      <w:rFonts w:asciiTheme="minorHAnsi" w:eastAsiaTheme="minorEastAsia" w:hAnsiTheme="minorHAnsi" w:cstheme="minorBidi"/>
      <w:kern w:val="2"/>
      <w:sz w:val="18"/>
      <w:szCs w:val="18"/>
    </w:rPr>
  </w:style>
  <w:style w:type="character" w:customStyle="1" w:styleId="1Char">
    <w:name w:val="标题 1 Char"/>
    <w:basedOn w:val="a0"/>
    <w:link w:val="1"/>
    <w:uiPriority w:val="9"/>
    <w:rsid w:val="003656F0"/>
    <w:rPr>
      <w:rFonts w:ascii="Calibri" w:eastAsia="黑体" w:hAnsi="Calibri"/>
      <w:b/>
      <w:bCs/>
      <w:kern w:val="44"/>
      <w:sz w:val="30"/>
      <w:szCs w:val="44"/>
      <w:lang w:val="x-none" w:eastAsia="x-none"/>
    </w:rPr>
  </w:style>
  <w:style w:type="character" w:customStyle="1" w:styleId="2Char">
    <w:name w:val="标题 2 Char"/>
    <w:basedOn w:val="a0"/>
    <w:link w:val="2"/>
    <w:uiPriority w:val="9"/>
    <w:rsid w:val="003656F0"/>
    <w:rPr>
      <w:rFonts w:ascii="Arial" w:hAnsi="Arial"/>
      <w:b/>
      <w:bCs/>
      <w:sz w:val="24"/>
      <w:szCs w:val="32"/>
      <w:lang w:val="x-none" w:eastAsia="x-none"/>
    </w:rPr>
  </w:style>
  <w:style w:type="character" w:styleId="a8">
    <w:name w:val="annotation reference"/>
    <w:rsid w:val="003656F0"/>
    <w:rPr>
      <w:sz w:val="21"/>
      <w:szCs w:val="21"/>
    </w:rPr>
  </w:style>
  <w:style w:type="character" w:styleId="a9">
    <w:name w:val="endnote reference"/>
    <w:rsid w:val="003656F0"/>
    <w:rPr>
      <w:vertAlign w:val="superscript"/>
    </w:rPr>
  </w:style>
  <w:style w:type="character" w:styleId="aa">
    <w:name w:val="page number"/>
    <w:basedOn w:val="a0"/>
    <w:rsid w:val="003656F0"/>
  </w:style>
  <w:style w:type="character" w:customStyle="1" w:styleId="Char2">
    <w:name w:val="标题 Char"/>
    <w:link w:val="ab"/>
    <w:rsid w:val="003656F0"/>
    <w:rPr>
      <w:rFonts w:ascii="Cambria" w:hAnsi="Cambria"/>
      <w:b/>
      <w:bCs/>
      <w:sz w:val="32"/>
      <w:szCs w:val="32"/>
    </w:rPr>
  </w:style>
  <w:style w:type="character" w:customStyle="1" w:styleId="Char3">
    <w:name w:val="脚注文本 Char"/>
    <w:link w:val="ac"/>
    <w:rsid w:val="003656F0"/>
    <w:rPr>
      <w:rFonts w:ascii="Calibri" w:hAnsi="Calibri"/>
      <w:sz w:val="18"/>
      <w:szCs w:val="18"/>
    </w:rPr>
  </w:style>
  <w:style w:type="character" w:customStyle="1" w:styleId="Char4">
    <w:name w:val="尾注文本 Char"/>
    <w:link w:val="ad"/>
    <w:rsid w:val="003656F0"/>
    <w:rPr>
      <w:rFonts w:ascii="Calibri" w:hAnsi="Calibri"/>
    </w:rPr>
  </w:style>
  <w:style w:type="character" w:customStyle="1" w:styleId="Char5">
    <w:name w:val="批注文字 Char"/>
    <w:link w:val="ae"/>
    <w:rsid w:val="003656F0"/>
    <w:rPr>
      <w:rFonts w:ascii="Calibri" w:hAnsi="Calibri"/>
    </w:rPr>
  </w:style>
  <w:style w:type="character" w:customStyle="1" w:styleId="Char6">
    <w:name w:val="批注主题 Char"/>
    <w:link w:val="af"/>
    <w:rsid w:val="003656F0"/>
    <w:rPr>
      <w:rFonts w:ascii="Calibri" w:hAnsi="Calibri"/>
      <w:b/>
      <w:bCs/>
    </w:rPr>
  </w:style>
  <w:style w:type="character" w:customStyle="1" w:styleId="Char7">
    <w:name w:val="文档结构图 Char"/>
    <w:link w:val="af0"/>
    <w:uiPriority w:val="99"/>
    <w:rsid w:val="003656F0"/>
    <w:rPr>
      <w:rFonts w:ascii="宋体" w:hAnsi="Calibri"/>
      <w:sz w:val="18"/>
      <w:szCs w:val="18"/>
    </w:rPr>
  </w:style>
  <w:style w:type="character" w:customStyle="1" w:styleId="Char10">
    <w:name w:val="页眉 Char1"/>
    <w:uiPriority w:val="99"/>
    <w:semiHidden/>
    <w:rsid w:val="003656F0"/>
    <w:rPr>
      <w:rFonts w:ascii="Calibri" w:eastAsia="宋体" w:hAnsi="Calibri" w:cs="Times New Roman"/>
      <w:sz w:val="18"/>
      <w:szCs w:val="18"/>
    </w:rPr>
  </w:style>
  <w:style w:type="paragraph" w:styleId="af0">
    <w:name w:val="Document Map"/>
    <w:basedOn w:val="a"/>
    <w:link w:val="Char7"/>
    <w:uiPriority w:val="99"/>
    <w:rsid w:val="003656F0"/>
    <w:pPr>
      <w:spacing w:beforeLines="50" w:before="156" w:afterLines="50" w:after="156" w:line="340" w:lineRule="exact"/>
      <w:ind w:firstLineChars="200" w:firstLine="200"/>
    </w:pPr>
    <w:rPr>
      <w:rFonts w:ascii="宋体" w:eastAsia="宋体" w:hAnsi="Calibri" w:cs="Times New Roman"/>
      <w:kern w:val="0"/>
      <w:sz w:val="18"/>
      <w:szCs w:val="18"/>
    </w:rPr>
  </w:style>
  <w:style w:type="character" w:customStyle="1" w:styleId="Char11">
    <w:name w:val="文档结构图 Char1"/>
    <w:basedOn w:val="a0"/>
    <w:uiPriority w:val="99"/>
    <w:semiHidden/>
    <w:rsid w:val="003656F0"/>
    <w:rPr>
      <w:rFonts w:ascii="宋体" w:hAnsiTheme="minorHAnsi" w:cstheme="minorBidi"/>
      <w:kern w:val="2"/>
      <w:sz w:val="18"/>
      <w:szCs w:val="18"/>
    </w:rPr>
  </w:style>
  <w:style w:type="paragraph" w:styleId="ab">
    <w:name w:val="Title"/>
    <w:basedOn w:val="a"/>
    <w:next w:val="a"/>
    <w:link w:val="Char2"/>
    <w:qFormat/>
    <w:rsid w:val="003656F0"/>
    <w:pPr>
      <w:spacing w:before="240" w:after="60" w:line="340" w:lineRule="exact"/>
      <w:ind w:firstLineChars="200" w:firstLine="200"/>
      <w:jc w:val="center"/>
      <w:outlineLvl w:val="0"/>
    </w:pPr>
    <w:rPr>
      <w:rFonts w:ascii="Cambria" w:eastAsia="宋体" w:hAnsi="Cambria" w:cs="Times New Roman"/>
      <w:b/>
      <w:bCs/>
      <w:kern w:val="0"/>
      <w:sz w:val="32"/>
      <w:szCs w:val="32"/>
    </w:rPr>
  </w:style>
  <w:style w:type="character" w:customStyle="1" w:styleId="Char12">
    <w:name w:val="标题 Char1"/>
    <w:basedOn w:val="a0"/>
    <w:uiPriority w:val="10"/>
    <w:rsid w:val="003656F0"/>
    <w:rPr>
      <w:rFonts w:asciiTheme="majorHAnsi" w:hAnsiTheme="majorHAnsi" w:cstheme="majorBidi"/>
      <w:b/>
      <w:bCs/>
      <w:kern w:val="2"/>
      <w:sz w:val="32"/>
      <w:szCs w:val="32"/>
    </w:rPr>
  </w:style>
  <w:style w:type="paragraph" w:styleId="ae">
    <w:name w:val="annotation text"/>
    <w:basedOn w:val="a"/>
    <w:link w:val="Char5"/>
    <w:rsid w:val="003656F0"/>
    <w:pPr>
      <w:spacing w:beforeLines="50" w:before="156" w:afterLines="50" w:after="156" w:line="340" w:lineRule="exact"/>
      <w:ind w:firstLineChars="200" w:firstLine="200"/>
      <w:jc w:val="left"/>
    </w:pPr>
    <w:rPr>
      <w:rFonts w:ascii="Calibri" w:eastAsia="宋体" w:hAnsi="Calibri" w:cs="Times New Roman"/>
      <w:kern w:val="0"/>
      <w:sz w:val="20"/>
      <w:szCs w:val="20"/>
    </w:rPr>
  </w:style>
  <w:style w:type="character" w:customStyle="1" w:styleId="Char13">
    <w:name w:val="批注文字 Char1"/>
    <w:basedOn w:val="a0"/>
    <w:uiPriority w:val="99"/>
    <w:semiHidden/>
    <w:rsid w:val="003656F0"/>
    <w:rPr>
      <w:rFonts w:asciiTheme="minorHAnsi" w:eastAsiaTheme="minorEastAsia" w:hAnsiTheme="minorHAnsi" w:cstheme="minorBidi"/>
      <w:kern w:val="2"/>
      <w:sz w:val="21"/>
      <w:szCs w:val="24"/>
    </w:rPr>
  </w:style>
  <w:style w:type="paragraph" w:styleId="ad">
    <w:name w:val="endnote text"/>
    <w:basedOn w:val="a"/>
    <w:link w:val="Char4"/>
    <w:rsid w:val="003656F0"/>
    <w:pPr>
      <w:snapToGrid w:val="0"/>
      <w:spacing w:beforeLines="50" w:before="156" w:afterLines="50" w:after="156" w:line="340" w:lineRule="exact"/>
      <w:ind w:firstLineChars="200" w:firstLine="200"/>
      <w:jc w:val="left"/>
    </w:pPr>
    <w:rPr>
      <w:rFonts w:ascii="Calibri" w:eastAsia="宋体" w:hAnsi="Calibri" w:cs="Times New Roman"/>
      <w:kern w:val="0"/>
      <w:sz w:val="20"/>
      <w:szCs w:val="20"/>
    </w:rPr>
  </w:style>
  <w:style w:type="character" w:customStyle="1" w:styleId="Char14">
    <w:name w:val="尾注文本 Char1"/>
    <w:basedOn w:val="a0"/>
    <w:uiPriority w:val="99"/>
    <w:semiHidden/>
    <w:rsid w:val="003656F0"/>
    <w:rPr>
      <w:rFonts w:asciiTheme="minorHAnsi" w:eastAsiaTheme="minorEastAsia" w:hAnsiTheme="minorHAnsi" w:cstheme="minorBidi"/>
      <w:kern w:val="2"/>
      <w:sz w:val="21"/>
      <w:szCs w:val="24"/>
    </w:rPr>
  </w:style>
  <w:style w:type="paragraph" w:styleId="af">
    <w:name w:val="annotation subject"/>
    <w:basedOn w:val="ae"/>
    <w:next w:val="ae"/>
    <w:link w:val="Char6"/>
    <w:rsid w:val="003656F0"/>
    <w:rPr>
      <w:b/>
      <w:bCs/>
    </w:rPr>
  </w:style>
  <w:style w:type="character" w:customStyle="1" w:styleId="Char15">
    <w:name w:val="批注主题 Char1"/>
    <w:basedOn w:val="Char13"/>
    <w:uiPriority w:val="99"/>
    <w:semiHidden/>
    <w:rsid w:val="003656F0"/>
    <w:rPr>
      <w:rFonts w:asciiTheme="minorHAnsi" w:eastAsiaTheme="minorEastAsia" w:hAnsiTheme="minorHAnsi" w:cstheme="minorBidi"/>
      <w:b/>
      <w:bCs/>
      <w:kern w:val="2"/>
      <w:sz w:val="21"/>
      <w:szCs w:val="24"/>
    </w:rPr>
  </w:style>
  <w:style w:type="character" w:customStyle="1" w:styleId="Char16">
    <w:name w:val="页脚 Char1"/>
    <w:uiPriority w:val="99"/>
    <w:semiHidden/>
    <w:rsid w:val="003656F0"/>
    <w:rPr>
      <w:rFonts w:ascii="Calibri" w:eastAsia="宋体" w:hAnsi="Calibri" w:cs="Times New Roman"/>
      <w:sz w:val="18"/>
      <w:szCs w:val="18"/>
    </w:rPr>
  </w:style>
  <w:style w:type="character" w:customStyle="1" w:styleId="Char17">
    <w:name w:val="批注框文本 Char1"/>
    <w:uiPriority w:val="99"/>
    <w:semiHidden/>
    <w:rsid w:val="003656F0"/>
    <w:rPr>
      <w:rFonts w:ascii="Calibri" w:eastAsia="宋体" w:hAnsi="Calibri" w:cs="Times New Roman"/>
      <w:sz w:val="18"/>
      <w:szCs w:val="18"/>
    </w:rPr>
  </w:style>
  <w:style w:type="paragraph" w:styleId="ac">
    <w:name w:val="footnote text"/>
    <w:basedOn w:val="a"/>
    <w:link w:val="Char3"/>
    <w:rsid w:val="003656F0"/>
    <w:pPr>
      <w:snapToGrid w:val="0"/>
      <w:spacing w:beforeLines="50" w:before="156" w:afterLines="50" w:after="156" w:line="340" w:lineRule="exact"/>
      <w:ind w:firstLineChars="200" w:firstLine="200"/>
      <w:jc w:val="left"/>
    </w:pPr>
    <w:rPr>
      <w:rFonts w:ascii="Calibri" w:eastAsia="宋体" w:hAnsi="Calibri" w:cs="Times New Roman"/>
      <w:kern w:val="0"/>
      <w:sz w:val="18"/>
      <w:szCs w:val="18"/>
    </w:rPr>
  </w:style>
  <w:style w:type="character" w:customStyle="1" w:styleId="Char18">
    <w:name w:val="脚注文本 Char1"/>
    <w:basedOn w:val="a0"/>
    <w:uiPriority w:val="99"/>
    <w:semiHidden/>
    <w:rsid w:val="003656F0"/>
    <w:rPr>
      <w:rFonts w:asciiTheme="minorHAnsi" w:eastAsiaTheme="minorEastAsia" w:hAnsiTheme="minorHAnsi" w:cstheme="minorBidi"/>
      <w:kern w:val="2"/>
      <w:sz w:val="18"/>
      <w:szCs w:val="18"/>
    </w:rPr>
  </w:style>
  <w:style w:type="paragraph" w:styleId="af1">
    <w:name w:val="List Paragraph"/>
    <w:basedOn w:val="a"/>
    <w:uiPriority w:val="99"/>
    <w:qFormat/>
    <w:rsid w:val="003656F0"/>
    <w:pPr>
      <w:spacing w:beforeLines="50" w:before="156" w:afterLines="50" w:after="156" w:line="340" w:lineRule="exact"/>
      <w:ind w:firstLineChars="200" w:firstLine="420"/>
    </w:pPr>
    <w:rPr>
      <w:rFonts w:ascii="Calibri" w:eastAsia="宋体" w:hAnsi="Calibri" w:cs="Times New Roman"/>
      <w:sz w:val="24"/>
      <w:szCs w:val="22"/>
    </w:rPr>
  </w:style>
  <w:style w:type="character" w:styleId="af2">
    <w:name w:val="footnote reference"/>
    <w:uiPriority w:val="99"/>
    <w:semiHidden/>
    <w:unhideWhenUsed/>
    <w:rsid w:val="003656F0"/>
    <w:rPr>
      <w:vertAlign w:val="superscript"/>
    </w:rPr>
  </w:style>
  <w:style w:type="table" w:styleId="af3">
    <w:name w:val="Table Grid"/>
    <w:basedOn w:val="a1"/>
    <w:uiPriority w:val="59"/>
    <w:rsid w:val="003656F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3656F0"/>
    <w:rPr>
      <w:rFonts w:ascii="Calibri" w:hAnsi="Calibri"/>
      <w:kern w:val="2"/>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uiPriority w:val="9"/>
    <w:qFormat/>
    <w:rsid w:val="003656F0"/>
    <w:pPr>
      <w:keepNext/>
      <w:keepLines/>
      <w:tabs>
        <w:tab w:val="left" w:pos="480"/>
      </w:tabs>
      <w:spacing w:beforeLines="100" w:before="312" w:afterLines="50" w:after="156" w:line="360" w:lineRule="auto"/>
      <w:ind w:firstLineChars="200" w:firstLine="200"/>
      <w:jc w:val="left"/>
      <w:outlineLvl w:val="0"/>
    </w:pPr>
    <w:rPr>
      <w:rFonts w:ascii="Calibri" w:eastAsia="黑体" w:hAnsi="Calibri" w:cs="Times New Roman"/>
      <w:b/>
      <w:bCs/>
      <w:kern w:val="44"/>
      <w:sz w:val="30"/>
      <w:szCs w:val="44"/>
      <w:lang w:val="x-none" w:eastAsia="x-none"/>
    </w:rPr>
  </w:style>
  <w:style w:type="paragraph" w:styleId="2">
    <w:name w:val="heading 2"/>
    <w:basedOn w:val="a"/>
    <w:next w:val="a"/>
    <w:link w:val="2Char"/>
    <w:uiPriority w:val="9"/>
    <w:qFormat/>
    <w:rsid w:val="003656F0"/>
    <w:pPr>
      <w:keepNext/>
      <w:keepLines/>
      <w:spacing w:beforeLines="50" w:before="156" w:afterLines="50" w:after="156" w:line="400" w:lineRule="atLeast"/>
      <w:ind w:firstLineChars="200" w:firstLine="200"/>
      <w:outlineLvl w:val="1"/>
    </w:pPr>
    <w:rPr>
      <w:rFonts w:ascii="Arial" w:eastAsia="宋体" w:hAnsi="Arial" w:cs="Times New Roman"/>
      <w:b/>
      <w:bCs/>
      <w:kern w:val="0"/>
      <w:sz w:val="24"/>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paragraph" w:styleId="a5">
    <w:name w:val="header"/>
    <w:basedOn w:val="a"/>
    <w:link w:val="Char"/>
    <w:rsid w:val="008278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82787A"/>
    <w:rPr>
      <w:rFonts w:asciiTheme="minorHAnsi" w:eastAsiaTheme="minorEastAsia" w:hAnsiTheme="minorHAnsi" w:cstheme="minorBidi"/>
      <w:kern w:val="2"/>
      <w:sz w:val="18"/>
      <w:szCs w:val="18"/>
    </w:rPr>
  </w:style>
  <w:style w:type="paragraph" w:styleId="a6">
    <w:name w:val="footer"/>
    <w:basedOn w:val="a"/>
    <w:link w:val="Char0"/>
    <w:uiPriority w:val="99"/>
    <w:rsid w:val="0082787A"/>
    <w:pPr>
      <w:tabs>
        <w:tab w:val="center" w:pos="4153"/>
        <w:tab w:val="right" w:pos="8306"/>
      </w:tabs>
      <w:snapToGrid w:val="0"/>
      <w:jc w:val="left"/>
    </w:pPr>
    <w:rPr>
      <w:sz w:val="18"/>
      <w:szCs w:val="18"/>
    </w:rPr>
  </w:style>
  <w:style w:type="character" w:customStyle="1" w:styleId="Char0">
    <w:name w:val="页脚 Char"/>
    <w:basedOn w:val="a0"/>
    <w:link w:val="a6"/>
    <w:uiPriority w:val="99"/>
    <w:rsid w:val="0082787A"/>
    <w:rPr>
      <w:rFonts w:asciiTheme="minorHAnsi" w:eastAsiaTheme="minorEastAsia" w:hAnsiTheme="minorHAnsi" w:cstheme="minorBidi"/>
      <w:kern w:val="2"/>
      <w:sz w:val="18"/>
      <w:szCs w:val="18"/>
    </w:rPr>
  </w:style>
  <w:style w:type="paragraph" w:styleId="a7">
    <w:name w:val="Balloon Text"/>
    <w:basedOn w:val="a"/>
    <w:link w:val="Char1"/>
    <w:uiPriority w:val="99"/>
    <w:rsid w:val="004D7B69"/>
    <w:rPr>
      <w:sz w:val="18"/>
      <w:szCs w:val="18"/>
    </w:rPr>
  </w:style>
  <w:style w:type="character" w:customStyle="1" w:styleId="Char1">
    <w:name w:val="批注框文本 Char"/>
    <w:basedOn w:val="a0"/>
    <w:link w:val="a7"/>
    <w:uiPriority w:val="99"/>
    <w:rsid w:val="004D7B69"/>
    <w:rPr>
      <w:rFonts w:asciiTheme="minorHAnsi" w:eastAsiaTheme="minorEastAsia" w:hAnsiTheme="minorHAnsi" w:cstheme="minorBidi"/>
      <w:kern w:val="2"/>
      <w:sz w:val="18"/>
      <w:szCs w:val="18"/>
    </w:rPr>
  </w:style>
  <w:style w:type="character" w:customStyle="1" w:styleId="1Char">
    <w:name w:val="标题 1 Char"/>
    <w:basedOn w:val="a0"/>
    <w:link w:val="1"/>
    <w:uiPriority w:val="9"/>
    <w:rsid w:val="003656F0"/>
    <w:rPr>
      <w:rFonts w:ascii="Calibri" w:eastAsia="黑体" w:hAnsi="Calibri"/>
      <w:b/>
      <w:bCs/>
      <w:kern w:val="44"/>
      <w:sz w:val="30"/>
      <w:szCs w:val="44"/>
      <w:lang w:val="x-none" w:eastAsia="x-none"/>
    </w:rPr>
  </w:style>
  <w:style w:type="character" w:customStyle="1" w:styleId="2Char">
    <w:name w:val="标题 2 Char"/>
    <w:basedOn w:val="a0"/>
    <w:link w:val="2"/>
    <w:uiPriority w:val="9"/>
    <w:rsid w:val="003656F0"/>
    <w:rPr>
      <w:rFonts w:ascii="Arial" w:hAnsi="Arial"/>
      <w:b/>
      <w:bCs/>
      <w:sz w:val="24"/>
      <w:szCs w:val="32"/>
      <w:lang w:val="x-none" w:eastAsia="x-none"/>
    </w:rPr>
  </w:style>
  <w:style w:type="character" w:styleId="a8">
    <w:name w:val="annotation reference"/>
    <w:rsid w:val="003656F0"/>
    <w:rPr>
      <w:sz w:val="21"/>
      <w:szCs w:val="21"/>
    </w:rPr>
  </w:style>
  <w:style w:type="character" w:styleId="a9">
    <w:name w:val="endnote reference"/>
    <w:rsid w:val="003656F0"/>
    <w:rPr>
      <w:vertAlign w:val="superscript"/>
    </w:rPr>
  </w:style>
  <w:style w:type="character" w:styleId="aa">
    <w:name w:val="page number"/>
    <w:basedOn w:val="a0"/>
    <w:rsid w:val="003656F0"/>
  </w:style>
  <w:style w:type="character" w:customStyle="1" w:styleId="Char2">
    <w:name w:val="标题 Char"/>
    <w:link w:val="ab"/>
    <w:rsid w:val="003656F0"/>
    <w:rPr>
      <w:rFonts w:ascii="Cambria" w:hAnsi="Cambria"/>
      <w:b/>
      <w:bCs/>
      <w:sz w:val="32"/>
      <w:szCs w:val="32"/>
    </w:rPr>
  </w:style>
  <w:style w:type="character" w:customStyle="1" w:styleId="Char3">
    <w:name w:val="脚注文本 Char"/>
    <w:link w:val="ac"/>
    <w:rsid w:val="003656F0"/>
    <w:rPr>
      <w:rFonts w:ascii="Calibri" w:hAnsi="Calibri"/>
      <w:sz w:val="18"/>
      <w:szCs w:val="18"/>
    </w:rPr>
  </w:style>
  <w:style w:type="character" w:customStyle="1" w:styleId="Char4">
    <w:name w:val="尾注文本 Char"/>
    <w:link w:val="ad"/>
    <w:rsid w:val="003656F0"/>
    <w:rPr>
      <w:rFonts w:ascii="Calibri" w:hAnsi="Calibri"/>
    </w:rPr>
  </w:style>
  <w:style w:type="character" w:customStyle="1" w:styleId="Char5">
    <w:name w:val="批注文字 Char"/>
    <w:link w:val="ae"/>
    <w:rsid w:val="003656F0"/>
    <w:rPr>
      <w:rFonts w:ascii="Calibri" w:hAnsi="Calibri"/>
    </w:rPr>
  </w:style>
  <w:style w:type="character" w:customStyle="1" w:styleId="Char6">
    <w:name w:val="批注主题 Char"/>
    <w:link w:val="af"/>
    <w:rsid w:val="003656F0"/>
    <w:rPr>
      <w:rFonts w:ascii="Calibri" w:hAnsi="Calibri"/>
      <w:b/>
      <w:bCs/>
    </w:rPr>
  </w:style>
  <w:style w:type="character" w:customStyle="1" w:styleId="Char7">
    <w:name w:val="文档结构图 Char"/>
    <w:link w:val="af0"/>
    <w:uiPriority w:val="99"/>
    <w:rsid w:val="003656F0"/>
    <w:rPr>
      <w:rFonts w:ascii="宋体" w:hAnsi="Calibri"/>
      <w:sz w:val="18"/>
      <w:szCs w:val="18"/>
    </w:rPr>
  </w:style>
  <w:style w:type="character" w:customStyle="1" w:styleId="Char10">
    <w:name w:val="页眉 Char1"/>
    <w:uiPriority w:val="99"/>
    <w:semiHidden/>
    <w:rsid w:val="003656F0"/>
    <w:rPr>
      <w:rFonts w:ascii="Calibri" w:eastAsia="宋体" w:hAnsi="Calibri" w:cs="Times New Roman"/>
      <w:sz w:val="18"/>
      <w:szCs w:val="18"/>
    </w:rPr>
  </w:style>
  <w:style w:type="paragraph" w:styleId="af0">
    <w:name w:val="Document Map"/>
    <w:basedOn w:val="a"/>
    <w:link w:val="Char7"/>
    <w:uiPriority w:val="99"/>
    <w:rsid w:val="003656F0"/>
    <w:pPr>
      <w:spacing w:beforeLines="50" w:before="156" w:afterLines="50" w:after="156" w:line="340" w:lineRule="exact"/>
      <w:ind w:firstLineChars="200" w:firstLine="200"/>
    </w:pPr>
    <w:rPr>
      <w:rFonts w:ascii="宋体" w:eastAsia="宋体" w:hAnsi="Calibri" w:cs="Times New Roman"/>
      <w:kern w:val="0"/>
      <w:sz w:val="18"/>
      <w:szCs w:val="18"/>
    </w:rPr>
  </w:style>
  <w:style w:type="character" w:customStyle="1" w:styleId="Char11">
    <w:name w:val="文档结构图 Char1"/>
    <w:basedOn w:val="a0"/>
    <w:uiPriority w:val="99"/>
    <w:semiHidden/>
    <w:rsid w:val="003656F0"/>
    <w:rPr>
      <w:rFonts w:ascii="宋体" w:hAnsiTheme="minorHAnsi" w:cstheme="minorBidi"/>
      <w:kern w:val="2"/>
      <w:sz w:val="18"/>
      <w:szCs w:val="18"/>
    </w:rPr>
  </w:style>
  <w:style w:type="paragraph" w:styleId="ab">
    <w:name w:val="Title"/>
    <w:basedOn w:val="a"/>
    <w:next w:val="a"/>
    <w:link w:val="Char2"/>
    <w:qFormat/>
    <w:rsid w:val="003656F0"/>
    <w:pPr>
      <w:spacing w:before="240" w:after="60" w:line="340" w:lineRule="exact"/>
      <w:ind w:firstLineChars="200" w:firstLine="200"/>
      <w:jc w:val="center"/>
      <w:outlineLvl w:val="0"/>
    </w:pPr>
    <w:rPr>
      <w:rFonts w:ascii="Cambria" w:eastAsia="宋体" w:hAnsi="Cambria" w:cs="Times New Roman"/>
      <w:b/>
      <w:bCs/>
      <w:kern w:val="0"/>
      <w:sz w:val="32"/>
      <w:szCs w:val="32"/>
    </w:rPr>
  </w:style>
  <w:style w:type="character" w:customStyle="1" w:styleId="Char12">
    <w:name w:val="标题 Char1"/>
    <w:basedOn w:val="a0"/>
    <w:uiPriority w:val="10"/>
    <w:rsid w:val="003656F0"/>
    <w:rPr>
      <w:rFonts w:asciiTheme="majorHAnsi" w:hAnsiTheme="majorHAnsi" w:cstheme="majorBidi"/>
      <w:b/>
      <w:bCs/>
      <w:kern w:val="2"/>
      <w:sz w:val="32"/>
      <w:szCs w:val="32"/>
    </w:rPr>
  </w:style>
  <w:style w:type="paragraph" w:styleId="ae">
    <w:name w:val="annotation text"/>
    <w:basedOn w:val="a"/>
    <w:link w:val="Char5"/>
    <w:rsid w:val="003656F0"/>
    <w:pPr>
      <w:spacing w:beforeLines="50" w:before="156" w:afterLines="50" w:after="156" w:line="340" w:lineRule="exact"/>
      <w:ind w:firstLineChars="200" w:firstLine="200"/>
      <w:jc w:val="left"/>
    </w:pPr>
    <w:rPr>
      <w:rFonts w:ascii="Calibri" w:eastAsia="宋体" w:hAnsi="Calibri" w:cs="Times New Roman"/>
      <w:kern w:val="0"/>
      <w:sz w:val="20"/>
      <w:szCs w:val="20"/>
    </w:rPr>
  </w:style>
  <w:style w:type="character" w:customStyle="1" w:styleId="Char13">
    <w:name w:val="批注文字 Char1"/>
    <w:basedOn w:val="a0"/>
    <w:uiPriority w:val="99"/>
    <w:semiHidden/>
    <w:rsid w:val="003656F0"/>
    <w:rPr>
      <w:rFonts w:asciiTheme="minorHAnsi" w:eastAsiaTheme="minorEastAsia" w:hAnsiTheme="minorHAnsi" w:cstheme="minorBidi"/>
      <w:kern w:val="2"/>
      <w:sz w:val="21"/>
      <w:szCs w:val="24"/>
    </w:rPr>
  </w:style>
  <w:style w:type="paragraph" w:styleId="ad">
    <w:name w:val="endnote text"/>
    <w:basedOn w:val="a"/>
    <w:link w:val="Char4"/>
    <w:rsid w:val="003656F0"/>
    <w:pPr>
      <w:snapToGrid w:val="0"/>
      <w:spacing w:beforeLines="50" w:before="156" w:afterLines="50" w:after="156" w:line="340" w:lineRule="exact"/>
      <w:ind w:firstLineChars="200" w:firstLine="200"/>
      <w:jc w:val="left"/>
    </w:pPr>
    <w:rPr>
      <w:rFonts w:ascii="Calibri" w:eastAsia="宋体" w:hAnsi="Calibri" w:cs="Times New Roman"/>
      <w:kern w:val="0"/>
      <w:sz w:val="20"/>
      <w:szCs w:val="20"/>
    </w:rPr>
  </w:style>
  <w:style w:type="character" w:customStyle="1" w:styleId="Char14">
    <w:name w:val="尾注文本 Char1"/>
    <w:basedOn w:val="a0"/>
    <w:uiPriority w:val="99"/>
    <w:semiHidden/>
    <w:rsid w:val="003656F0"/>
    <w:rPr>
      <w:rFonts w:asciiTheme="minorHAnsi" w:eastAsiaTheme="minorEastAsia" w:hAnsiTheme="minorHAnsi" w:cstheme="minorBidi"/>
      <w:kern w:val="2"/>
      <w:sz w:val="21"/>
      <w:szCs w:val="24"/>
    </w:rPr>
  </w:style>
  <w:style w:type="paragraph" w:styleId="af">
    <w:name w:val="annotation subject"/>
    <w:basedOn w:val="ae"/>
    <w:next w:val="ae"/>
    <w:link w:val="Char6"/>
    <w:rsid w:val="003656F0"/>
    <w:rPr>
      <w:b/>
      <w:bCs/>
    </w:rPr>
  </w:style>
  <w:style w:type="character" w:customStyle="1" w:styleId="Char15">
    <w:name w:val="批注主题 Char1"/>
    <w:basedOn w:val="Char13"/>
    <w:uiPriority w:val="99"/>
    <w:semiHidden/>
    <w:rsid w:val="003656F0"/>
    <w:rPr>
      <w:rFonts w:asciiTheme="minorHAnsi" w:eastAsiaTheme="minorEastAsia" w:hAnsiTheme="minorHAnsi" w:cstheme="minorBidi"/>
      <w:b/>
      <w:bCs/>
      <w:kern w:val="2"/>
      <w:sz w:val="21"/>
      <w:szCs w:val="24"/>
    </w:rPr>
  </w:style>
  <w:style w:type="character" w:customStyle="1" w:styleId="Char16">
    <w:name w:val="页脚 Char1"/>
    <w:uiPriority w:val="99"/>
    <w:semiHidden/>
    <w:rsid w:val="003656F0"/>
    <w:rPr>
      <w:rFonts w:ascii="Calibri" w:eastAsia="宋体" w:hAnsi="Calibri" w:cs="Times New Roman"/>
      <w:sz w:val="18"/>
      <w:szCs w:val="18"/>
    </w:rPr>
  </w:style>
  <w:style w:type="character" w:customStyle="1" w:styleId="Char17">
    <w:name w:val="批注框文本 Char1"/>
    <w:uiPriority w:val="99"/>
    <w:semiHidden/>
    <w:rsid w:val="003656F0"/>
    <w:rPr>
      <w:rFonts w:ascii="Calibri" w:eastAsia="宋体" w:hAnsi="Calibri" w:cs="Times New Roman"/>
      <w:sz w:val="18"/>
      <w:szCs w:val="18"/>
    </w:rPr>
  </w:style>
  <w:style w:type="paragraph" w:styleId="ac">
    <w:name w:val="footnote text"/>
    <w:basedOn w:val="a"/>
    <w:link w:val="Char3"/>
    <w:rsid w:val="003656F0"/>
    <w:pPr>
      <w:snapToGrid w:val="0"/>
      <w:spacing w:beforeLines="50" w:before="156" w:afterLines="50" w:after="156" w:line="340" w:lineRule="exact"/>
      <w:ind w:firstLineChars="200" w:firstLine="200"/>
      <w:jc w:val="left"/>
    </w:pPr>
    <w:rPr>
      <w:rFonts w:ascii="Calibri" w:eastAsia="宋体" w:hAnsi="Calibri" w:cs="Times New Roman"/>
      <w:kern w:val="0"/>
      <w:sz w:val="18"/>
      <w:szCs w:val="18"/>
    </w:rPr>
  </w:style>
  <w:style w:type="character" w:customStyle="1" w:styleId="Char18">
    <w:name w:val="脚注文本 Char1"/>
    <w:basedOn w:val="a0"/>
    <w:uiPriority w:val="99"/>
    <w:semiHidden/>
    <w:rsid w:val="003656F0"/>
    <w:rPr>
      <w:rFonts w:asciiTheme="minorHAnsi" w:eastAsiaTheme="minorEastAsia" w:hAnsiTheme="minorHAnsi" w:cstheme="minorBidi"/>
      <w:kern w:val="2"/>
      <w:sz w:val="18"/>
      <w:szCs w:val="18"/>
    </w:rPr>
  </w:style>
  <w:style w:type="paragraph" w:styleId="af1">
    <w:name w:val="List Paragraph"/>
    <w:basedOn w:val="a"/>
    <w:uiPriority w:val="99"/>
    <w:qFormat/>
    <w:rsid w:val="003656F0"/>
    <w:pPr>
      <w:spacing w:beforeLines="50" w:before="156" w:afterLines="50" w:after="156" w:line="340" w:lineRule="exact"/>
      <w:ind w:firstLineChars="200" w:firstLine="420"/>
    </w:pPr>
    <w:rPr>
      <w:rFonts w:ascii="Calibri" w:eastAsia="宋体" w:hAnsi="Calibri" w:cs="Times New Roman"/>
      <w:sz w:val="24"/>
      <w:szCs w:val="22"/>
    </w:rPr>
  </w:style>
  <w:style w:type="character" w:styleId="af2">
    <w:name w:val="footnote reference"/>
    <w:uiPriority w:val="99"/>
    <w:semiHidden/>
    <w:unhideWhenUsed/>
    <w:rsid w:val="003656F0"/>
    <w:rPr>
      <w:vertAlign w:val="superscript"/>
    </w:rPr>
  </w:style>
  <w:style w:type="table" w:styleId="af3">
    <w:name w:val="Table Grid"/>
    <w:basedOn w:val="a1"/>
    <w:uiPriority w:val="59"/>
    <w:rsid w:val="003656F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3656F0"/>
    <w:rPr>
      <w:rFonts w:ascii="Calibri" w:hAnsi="Calibri"/>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772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09853C-380C-45D7-821F-2CF5799FC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563</Words>
  <Characters>3214</Characters>
  <Application>Microsoft Office Word</Application>
  <DocSecurity>0</DocSecurity>
  <Lines>26</Lines>
  <Paragraphs>7</Paragraphs>
  <ScaleCrop>false</ScaleCrop>
  <Company>Microsoft</Company>
  <LinksUpToDate>false</LinksUpToDate>
  <CharactersWithSpaces>3770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yujing</dc:creator>
  <cp:lastModifiedBy>Administrator</cp:lastModifiedBy>
  <cp:revision>3</cp:revision>
  <cp:lastPrinted>2018-08-13T01:53:00Z</cp:lastPrinted>
  <dcterms:created xsi:type="dcterms:W3CDTF">2018-08-14T12:17:00Z</dcterms:created>
  <dcterms:modified xsi:type="dcterms:W3CDTF">2018-08-16T06:42:00Z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