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4E" w:rsidRPr="005A3C7C" w:rsidRDefault="00E12F4E" w:rsidP="00E12F4E">
      <w:pPr>
        <w:spacing w:line="520" w:lineRule="exact"/>
        <w:jc w:val="center"/>
        <w:rPr>
          <w:rFonts w:ascii="微软雅黑" w:eastAsia="微软雅黑" w:hAnsi="微软雅黑"/>
          <w:b/>
          <w:sz w:val="24"/>
        </w:rPr>
      </w:pPr>
      <w:r w:rsidRPr="005A3C7C">
        <w:rPr>
          <w:rFonts w:ascii="微软雅黑" w:eastAsia="微软雅黑" w:hAnsi="微软雅黑" w:hint="eastAsia"/>
          <w:b/>
          <w:sz w:val="24"/>
        </w:rPr>
        <w:t>关于规范已出让未建用地土地用途变更和容积率调整的处置办法（试行）</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第一条</w:t>
      </w:r>
      <w:r w:rsidRPr="005A3C7C">
        <w:rPr>
          <w:rFonts w:ascii="微软雅黑" w:eastAsia="微软雅黑" w:hAnsi="微软雅黑" w:hint="eastAsia"/>
          <w:sz w:val="20"/>
          <w:szCs w:val="20"/>
        </w:rPr>
        <w:t>【目的和宗旨】</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为加强土地用途变更和容积率调整管理，解决相关历史用地问题，盘活存量土地，深化土地使用制度改革，加快城市规划实施，推动产业转型升级，促进城市科学发展，根据相关法律、法规和政策制订本办法。</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第二条</w:t>
      </w:r>
      <w:r w:rsidRPr="005A3C7C">
        <w:rPr>
          <w:rFonts w:ascii="微软雅黑" w:eastAsia="微软雅黑" w:hAnsi="微软雅黑" w:hint="eastAsia"/>
          <w:sz w:val="20"/>
          <w:szCs w:val="20"/>
        </w:rPr>
        <w:t>【适用范围】</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已出让未建用地在本办法实施前已被生效法定图则变更用途或调整容积率的，其开发利用适用本办法。</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因城市更新、土地置换和土地整备等原因变更土地用途、调整容积率的，适用我市相关规定。</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已出让未建用地在本办法实施前申请调整容</w:t>
      </w:r>
      <w:bookmarkStart w:id="0" w:name="_GoBack"/>
      <w:bookmarkEnd w:id="0"/>
      <w:r w:rsidRPr="005A3C7C">
        <w:rPr>
          <w:rFonts w:ascii="微软雅黑" w:eastAsia="微软雅黑" w:hAnsi="微软雅黑" w:hint="eastAsia"/>
          <w:sz w:val="20"/>
          <w:szCs w:val="20"/>
        </w:rPr>
        <w:t>积率获得批准且已签订土地使用权合同补充协议的，不适用本办法。</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已出让未建用地申请按照本办法处置的，需不属于闲置土地或虽属闲置但按规定可由土地使用权人继续开发建设。</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以</w:t>
      </w:r>
      <w:proofErr w:type="gramStart"/>
      <w:r w:rsidRPr="005A3C7C">
        <w:rPr>
          <w:rFonts w:ascii="微软雅黑" w:eastAsia="微软雅黑" w:hAnsi="微软雅黑" w:hint="eastAsia"/>
          <w:sz w:val="20"/>
          <w:szCs w:val="20"/>
        </w:rPr>
        <w:t>招拍挂方式</w:t>
      </w:r>
      <w:proofErr w:type="gramEnd"/>
      <w:r w:rsidRPr="005A3C7C">
        <w:rPr>
          <w:rFonts w:ascii="微软雅黑" w:eastAsia="微软雅黑" w:hAnsi="微软雅黑" w:hint="eastAsia"/>
          <w:sz w:val="20"/>
          <w:szCs w:val="20"/>
        </w:rPr>
        <w:t>取得的土地使用权及法律、法规或者土地使用权出让合同明确规定变更土地用途应当收回土地使用权的，不得申请变更土地用途。</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第三条</w:t>
      </w:r>
      <w:r w:rsidRPr="005A3C7C">
        <w:rPr>
          <w:rFonts w:ascii="微软雅黑" w:eastAsia="微软雅黑" w:hAnsi="微软雅黑" w:hint="eastAsia"/>
          <w:sz w:val="20"/>
          <w:szCs w:val="20"/>
        </w:rPr>
        <w:t>【释义】</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本办法所称已出让未建用地，是指已签订土地使用权出让合同，但尚未动工开发建设的项目用地。</w:t>
      </w:r>
    </w:p>
    <w:p w:rsidR="00E12F4E"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本办法所称变更土地用途是指《深圳市城市规划标准与准则》规定的大类用地之间的用途变更。</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第四条</w:t>
      </w:r>
      <w:r w:rsidRPr="005A3C7C">
        <w:rPr>
          <w:rFonts w:ascii="微软雅黑" w:eastAsia="微软雅黑" w:hAnsi="微软雅黑" w:hint="eastAsia"/>
          <w:sz w:val="20"/>
          <w:szCs w:val="20"/>
        </w:rPr>
        <w:t xml:space="preserve">【已出让未建用地用途部分或全部变更的处置】 </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 xml:space="preserve">已出让未建用地用途部分或全部变更的，除本办法另有规定外，土地使用权人可选择以下途径申请对原土地使用权处置：　　　　　　</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一）申请按照法定图则确定的用途自行建设。土地使用权人按变更后用途开发建设的建筑面积按照原宗地出让合同约定的建筑面积核定（原宗地出让合同未约定建筑面积的，工业、物流仓储用地容积率按1.0核定，居住用地容积率按1.8核定,其他用途参照原宗地当时周边同类用地已有容积率确定），用地面积按照法定图则确定的容积率和前述核定的建筑面积在原宗地内进行折算后核定；宗地内剩余用地无偿收回。收回的用地规模不足2000平方米，可由原土地使用权人继续开发建设。</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二）根据土地使用权人申请，按照法定图则确定的规划指标转让土地使用权。通过政府指定的公开交易平台，以挂牌方式公开转让上述土地使用权。以法定图则确定规划指标的市场评估价作为底价；底价中，原宗</w:t>
      </w:r>
      <w:r w:rsidRPr="005A3C7C">
        <w:rPr>
          <w:rFonts w:ascii="微软雅黑" w:eastAsia="微软雅黑" w:hAnsi="微软雅黑" w:hint="eastAsia"/>
          <w:sz w:val="20"/>
          <w:szCs w:val="20"/>
        </w:rPr>
        <w:lastRenderedPageBreak/>
        <w:t>地出让合同约定的土地用途剩余年期的价值归原土地使用权人所有，剩余部分纳入市国土基金。成交价高于底价的溢价部分50％纳入市国土基金，50％归原土地使用权人。土地使用权交易所需缴纳的</w:t>
      </w:r>
      <w:proofErr w:type="gramStart"/>
      <w:r w:rsidRPr="005A3C7C">
        <w:rPr>
          <w:rFonts w:ascii="微软雅黑" w:eastAsia="微软雅黑" w:hAnsi="微软雅黑" w:hint="eastAsia"/>
          <w:sz w:val="20"/>
          <w:szCs w:val="20"/>
        </w:rPr>
        <w:t>税费由竞得</w:t>
      </w:r>
      <w:proofErr w:type="gramEnd"/>
      <w:r w:rsidRPr="005A3C7C">
        <w:rPr>
          <w:rFonts w:ascii="微软雅黑" w:eastAsia="微软雅黑" w:hAnsi="微软雅黑" w:hint="eastAsia"/>
          <w:sz w:val="20"/>
          <w:szCs w:val="20"/>
        </w:rPr>
        <w:t>人承担。</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（三）申请土地置换。主管部门根据相关规定按照与原宗地按等价值原则另行安排国有建设用地。</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（四）申请土地收购。主管部门收购宗地全部土地使用权，以原土地用途剩余期限市场评估价上浮20％给予补偿。</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第五条</w:t>
      </w:r>
      <w:r w:rsidRPr="005A3C7C">
        <w:rPr>
          <w:rFonts w:ascii="微软雅黑" w:eastAsia="微软雅黑" w:hAnsi="微软雅黑" w:hint="eastAsia"/>
          <w:sz w:val="20"/>
          <w:szCs w:val="20"/>
        </w:rPr>
        <w:t>【已出让未建用地部分或全部变更为公共管理与服务设施、交通与市政公用设施用地的处置】</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已出让未建用地由其他用途部分或全部变更为公共管理与服务设施、交通与市政公用设施用地且可由社会资本投资建设的，可由土地使用权人申请按照第四条第一款第（一）项规定继续开发建设。 如法定图则中未标注容积率的，其容积率按相关标准和规范确定。</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国家规定</w:t>
      </w:r>
      <w:proofErr w:type="gramStart"/>
      <w:r w:rsidRPr="005A3C7C">
        <w:rPr>
          <w:rFonts w:ascii="微软雅黑" w:eastAsia="微软雅黑" w:hAnsi="微软雅黑" w:hint="eastAsia"/>
          <w:sz w:val="20"/>
          <w:szCs w:val="20"/>
        </w:rPr>
        <w:t>须招拍挂</w:t>
      </w:r>
      <w:proofErr w:type="gramEnd"/>
      <w:r w:rsidRPr="005A3C7C">
        <w:rPr>
          <w:rFonts w:ascii="微软雅黑" w:eastAsia="微软雅黑" w:hAnsi="微软雅黑" w:hint="eastAsia"/>
          <w:sz w:val="20"/>
          <w:szCs w:val="20"/>
        </w:rPr>
        <w:t>出让的经营性公共管理与服务设施、交通与市政公用设施用地，按照第四条第一款第（二）、（三）（四）项规定处理。</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土地使用权人不申请处置或变更为公共管理与服务设施、交通与市政公用设施用地且不可由社会资本投资建设的，主管部门可依法收回土地使用权。</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第六条</w:t>
      </w:r>
      <w:r w:rsidRPr="005A3C7C">
        <w:rPr>
          <w:rFonts w:ascii="微软雅黑" w:eastAsia="微软雅黑" w:hAnsi="微软雅黑" w:hint="eastAsia"/>
          <w:sz w:val="20"/>
          <w:szCs w:val="20"/>
        </w:rPr>
        <w:t>【用途不变情况下调整容积率的处置】</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根据生效法定图则，已出让未建用地用途未作变更，但容积率指标有所调整的，按如下规定依次处理：</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（一）交回部分土地使用权。土地使用权人向主管部门无偿交回原宗地面积的不低于15％（含15％）且收回的用地面积不低于2000平方米，剩余宗地根据法定图则容积率指标上限确定总建筑面积。</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二）提供部分物业。土地使用权人无法满足第（一）项规定情形，因调整容积率而增加建筑面积的，应向政府无偿提供一定比例的建筑面积。如容积率增幅在原约定容积率的1倍及以下的，应向政府无偿提供不低于增加建筑面积的15%的物业（不含公共服务设施和城市基础设施）；如容积率增幅在原约定容积率1倍以上的，应向政府无偿提供不低于增加建筑面积的20%的物业（不含公共服务设施和城市基础设施）。提供的物业可由原土地使用权人优先租用。</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原宗地部分变更为公共管理与服务设施、交通与市政公用设施用地的，交回用地的面积比为扣除变更为公共管理与服务设施、交通与市政公用设施用地的面积后剩余用地面积的15％。</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原宗地部分变更为公共管理与服务设施、交通与市政公用设施用地的，变更部分按照有关规定与上述处理一并完成。</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lastRenderedPageBreak/>
        <w:t>第七条</w:t>
      </w:r>
      <w:r w:rsidRPr="005A3C7C">
        <w:rPr>
          <w:rFonts w:ascii="微软雅黑" w:eastAsia="微软雅黑" w:hAnsi="微软雅黑" w:hint="eastAsia"/>
          <w:sz w:val="20"/>
          <w:szCs w:val="20"/>
        </w:rPr>
        <w:t>【年期】</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土地用途变更后的土地使用权使用期限按照法律规定的最高年期确定。土地用途变更后的土地使用权使用期限的起始年期在符合法律规定的条件下可以重新起算。</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调整容积率但不涉及土地用途变更的，土地使用权使用期限和起始年期维持原土地使用权出让合同的约定不变。</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第八条</w:t>
      </w:r>
      <w:r w:rsidRPr="005A3C7C">
        <w:rPr>
          <w:rFonts w:ascii="微软雅黑" w:eastAsia="微软雅黑" w:hAnsi="微软雅黑" w:hint="eastAsia"/>
          <w:sz w:val="20"/>
          <w:szCs w:val="20"/>
        </w:rPr>
        <w:t>【地价】</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变更土地用途和调整容积率应按规定缴纳地价。</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根据第四条第一款第（一）项规定由土地使用权人继续开发建设的，以继续开发建设部分市场评估价与原宗地出让合同约定土地用途剩余年</w:t>
      </w:r>
      <w:proofErr w:type="gramStart"/>
      <w:r w:rsidRPr="005A3C7C">
        <w:rPr>
          <w:rFonts w:ascii="微软雅黑" w:eastAsia="微软雅黑" w:hAnsi="微软雅黑" w:hint="eastAsia"/>
          <w:sz w:val="20"/>
          <w:szCs w:val="20"/>
        </w:rPr>
        <w:t>期价值</w:t>
      </w:r>
      <w:proofErr w:type="gramEnd"/>
      <w:r w:rsidRPr="005A3C7C">
        <w:rPr>
          <w:rFonts w:ascii="微软雅黑" w:eastAsia="微软雅黑" w:hAnsi="微软雅黑" w:hint="eastAsia"/>
          <w:sz w:val="20"/>
          <w:szCs w:val="20"/>
        </w:rPr>
        <w:t>的差值补缴地价，差值为负的，主管部门不予退还。原宗地出让合同约定的土地用途剩余年期价值，以现行基准地价为基础结合地价减免等因素确定。</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本办法对应</w:t>
      </w:r>
      <w:proofErr w:type="gramStart"/>
      <w:r w:rsidRPr="005A3C7C">
        <w:rPr>
          <w:rFonts w:ascii="微软雅黑" w:eastAsia="微软雅黑" w:hAnsi="微软雅黑" w:hint="eastAsia"/>
          <w:sz w:val="20"/>
          <w:szCs w:val="20"/>
        </w:rPr>
        <w:t>缴</w:t>
      </w:r>
      <w:proofErr w:type="gramEnd"/>
      <w:r w:rsidRPr="005A3C7C">
        <w:rPr>
          <w:rFonts w:ascii="微软雅黑" w:eastAsia="微软雅黑" w:hAnsi="微软雅黑" w:hint="eastAsia"/>
          <w:sz w:val="20"/>
          <w:szCs w:val="20"/>
        </w:rPr>
        <w:t>地价未作具体规定的，按照我市宗地地价测算规则的有关规定执行。</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第九条</w:t>
      </w:r>
      <w:r w:rsidRPr="005A3C7C">
        <w:rPr>
          <w:rFonts w:ascii="微软雅黑" w:eastAsia="微软雅黑" w:hAnsi="微软雅黑" w:hint="eastAsia"/>
          <w:sz w:val="20"/>
          <w:szCs w:val="20"/>
        </w:rPr>
        <w:t>【鼓励建设保障性住房】</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已出让未建用地变更为居住用地，或原居住用地用途未作变更但容积率指标调整的，鼓励用于建设保障性住房，对处置方式和地价政策有优惠政策或特别规定的，从其规定。</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第十条</w:t>
      </w:r>
      <w:r w:rsidRPr="005A3C7C">
        <w:rPr>
          <w:rFonts w:ascii="微软雅黑" w:eastAsia="微软雅黑" w:hAnsi="微软雅黑" w:hint="eastAsia"/>
          <w:sz w:val="20"/>
          <w:szCs w:val="20"/>
        </w:rPr>
        <w:t>【公示】</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除涉及国家秘密外，主管部门在批准已出让土地用途变更和容积率调整的处置方案时，应当依法进行公示。</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第十一条</w:t>
      </w:r>
      <w:r w:rsidRPr="005A3C7C">
        <w:rPr>
          <w:rFonts w:ascii="微软雅黑" w:eastAsia="微软雅黑" w:hAnsi="微软雅黑" w:hint="eastAsia"/>
          <w:sz w:val="20"/>
          <w:szCs w:val="20"/>
        </w:rPr>
        <w:t>【批后监管】</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健全监督检查制度，落实监管措施，加强对土地用途变更或调整容积率审批事项的批后监管，建立台帐，定期向市政府及市城市规划委员会报告。</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第十二条</w:t>
      </w:r>
      <w:r w:rsidRPr="005A3C7C">
        <w:rPr>
          <w:rFonts w:ascii="微软雅黑" w:eastAsia="微软雅黑" w:hAnsi="微软雅黑" w:hint="eastAsia"/>
          <w:sz w:val="20"/>
          <w:szCs w:val="20"/>
        </w:rPr>
        <w:t>【衔接】</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本办法实施后，在法定图则编制和调整过程中，对土地用途变更或容积率调整应当综合考虑社会经济发展的实际需求、土地权籍、规划实施成本及土地整备等因素，依法从严控制。</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b/>
          <w:sz w:val="20"/>
          <w:szCs w:val="20"/>
        </w:rPr>
        <w:t>第十三条</w:t>
      </w:r>
      <w:r w:rsidRPr="005A3C7C">
        <w:rPr>
          <w:rFonts w:ascii="微软雅黑" w:eastAsia="微软雅黑" w:hAnsi="微软雅黑" w:hint="eastAsia"/>
          <w:sz w:val="20"/>
          <w:szCs w:val="20"/>
        </w:rPr>
        <w:t>【施行】</w:t>
      </w:r>
    </w:p>
    <w:p w:rsidR="00E12F4E" w:rsidRPr="005A3C7C"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本办法自发布之日起施行，试行期两年。</w:t>
      </w:r>
    </w:p>
    <w:p w:rsidR="002953FC" w:rsidRPr="00E12F4E" w:rsidRDefault="00E12F4E" w:rsidP="00E12F4E">
      <w:pPr>
        <w:spacing w:line="520" w:lineRule="exact"/>
        <w:ind w:firstLineChars="200" w:firstLine="400"/>
        <w:rPr>
          <w:rFonts w:ascii="微软雅黑" w:eastAsia="微软雅黑" w:hAnsi="微软雅黑"/>
          <w:sz w:val="20"/>
          <w:szCs w:val="20"/>
        </w:rPr>
      </w:pPr>
      <w:r w:rsidRPr="005A3C7C">
        <w:rPr>
          <w:rFonts w:ascii="微软雅黑" w:eastAsia="微软雅黑" w:hAnsi="微软雅黑" w:hint="eastAsia"/>
          <w:sz w:val="20"/>
          <w:szCs w:val="20"/>
        </w:rPr>
        <w:t>前海合作区、高新技术产业园区、保税区对变更土地用途和调整容积率有特别规定的，适用其规定。</w:t>
      </w:r>
    </w:p>
    <w:sectPr w:rsidR="002953FC" w:rsidRPr="00E12F4E" w:rsidSect="00020DBC">
      <w:headerReference w:type="default" r:id="rId10"/>
      <w:footerReference w:type="default" r:id="rId11"/>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FF" w:rsidRDefault="000632FF" w:rsidP="0082787A">
      <w:r>
        <w:separator/>
      </w:r>
    </w:p>
  </w:endnote>
  <w:endnote w:type="continuationSeparator" w:id="0">
    <w:p w:rsidR="000632FF" w:rsidRDefault="000632FF"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FF" w:rsidRDefault="000632FF" w:rsidP="0082787A">
      <w:r>
        <w:separator/>
      </w:r>
    </w:p>
  </w:footnote>
  <w:footnote w:type="continuationSeparator" w:id="0">
    <w:p w:rsidR="000632FF" w:rsidRDefault="000632FF"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BC" w:rsidRDefault="00020DBC" w:rsidP="00020DBC">
    <w:pPr>
      <w:pStyle w:val="a5"/>
      <w:jc w:val="left"/>
    </w:pPr>
    <w:r>
      <w:rPr>
        <w:noProof/>
      </w:rPr>
      <w:drawing>
        <wp:inline distT="0" distB="0" distL="0" distR="0" wp14:anchorId="3644E29B" wp14:editId="0BB6131A">
          <wp:extent cx="574040" cy="361315"/>
          <wp:effectExtent l="0" t="0" r="0" b="635"/>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666" t="41537"/>
                  <a:stretch>
                    <a:fillRect/>
                  </a:stretch>
                </pic:blipFill>
                <pic:spPr bwMode="auto">
                  <a:xfrm>
                    <a:off x="0" y="0"/>
                    <a:ext cx="574040" cy="361315"/>
                  </a:xfrm>
                  <a:prstGeom prst="rect">
                    <a:avLst/>
                  </a:prstGeom>
                  <a:noFill/>
                  <a:ln>
                    <a:noFill/>
                  </a:ln>
                </pic:spPr>
              </pic:pic>
            </a:graphicData>
          </a:graphic>
        </wp:inline>
      </w:drawing>
    </w:r>
  </w:p>
  <w:p w:rsidR="00020DBC" w:rsidRDefault="00020DBC" w:rsidP="00020DBC">
    <w:pPr>
      <w:pStyle w:val="a5"/>
      <w:wordWrap w:val="0"/>
      <w:jc w:val="right"/>
    </w:pPr>
    <w:r>
      <w:rPr>
        <w:rFonts w:ascii="微软雅黑" w:eastAsia="微软雅黑" w:hAnsi="微软雅黑" w:hint="eastAsia"/>
        <w:color w:val="595959" w:themeColor="text1" w:themeTint="A6"/>
        <w:sz w:val="15"/>
        <w:szCs w:val="15"/>
      </w:rPr>
      <w:t>第二篇 城市更新操作流程</w:t>
    </w:r>
  </w:p>
  <w:p w:rsidR="004D7B69" w:rsidRPr="00020DBC" w:rsidRDefault="004D7B69" w:rsidP="00020D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FD5278"/>
    <w:multiLevelType w:val="hybridMultilevel"/>
    <w:tmpl w:val="269C8A8A"/>
    <w:lvl w:ilvl="0" w:tplc="D6E469C4">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7"/>
  </w:num>
  <w:num w:numId="9">
    <w:abstractNumId w:val="19"/>
  </w:num>
  <w:num w:numId="10">
    <w:abstractNumId w:val="16"/>
  </w:num>
  <w:num w:numId="11">
    <w:abstractNumId w:val="21"/>
  </w:num>
  <w:num w:numId="12">
    <w:abstractNumId w:val="12"/>
  </w:num>
  <w:num w:numId="13">
    <w:abstractNumId w:val="6"/>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0DBC"/>
    <w:rsid w:val="00021A87"/>
    <w:rsid w:val="000632FF"/>
    <w:rsid w:val="00080FE1"/>
    <w:rsid w:val="000B478B"/>
    <w:rsid w:val="0014354E"/>
    <w:rsid w:val="001555DB"/>
    <w:rsid w:val="00186459"/>
    <w:rsid w:val="001A2CE0"/>
    <w:rsid w:val="001A5BA5"/>
    <w:rsid w:val="001B25E1"/>
    <w:rsid w:val="002953FC"/>
    <w:rsid w:val="002A20E2"/>
    <w:rsid w:val="002D6CA0"/>
    <w:rsid w:val="003656F0"/>
    <w:rsid w:val="003F1245"/>
    <w:rsid w:val="004D7B69"/>
    <w:rsid w:val="005305BA"/>
    <w:rsid w:val="005A6DB4"/>
    <w:rsid w:val="005C7C12"/>
    <w:rsid w:val="005D62A8"/>
    <w:rsid w:val="00644100"/>
    <w:rsid w:val="006D62B0"/>
    <w:rsid w:val="00741E37"/>
    <w:rsid w:val="00750387"/>
    <w:rsid w:val="007B7DE8"/>
    <w:rsid w:val="007D292E"/>
    <w:rsid w:val="007E10E3"/>
    <w:rsid w:val="0082787A"/>
    <w:rsid w:val="008306ED"/>
    <w:rsid w:val="00834074"/>
    <w:rsid w:val="00876E95"/>
    <w:rsid w:val="008E7367"/>
    <w:rsid w:val="00922831"/>
    <w:rsid w:val="009C3BBC"/>
    <w:rsid w:val="009D3553"/>
    <w:rsid w:val="00A2308B"/>
    <w:rsid w:val="00A625A1"/>
    <w:rsid w:val="00AA57E8"/>
    <w:rsid w:val="00AC3379"/>
    <w:rsid w:val="00AC4F1F"/>
    <w:rsid w:val="00B01CC5"/>
    <w:rsid w:val="00C43C28"/>
    <w:rsid w:val="00C66CF9"/>
    <w:rsid w:val="00C6704B"/>
    <w:rsid w:val="00CF4BF3"/>
    <w:rsid w:val="00D83410"/>
    <w:rsid w:val="00D96622"/>
    <w:rsid w:val="00DC72FC"/>
    <w:rsid w:val="00E12F4E"/>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BB774-4F7C-468D-879A-6527CD31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2018-08-14T12:19:00Z</dcterms:created>
  <dcterms:modified xsi:type="dcterms:W3CDTF">2018-08-16T06:43:00Z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