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2E0" w:rsidRPr="00C127A5" w:rsidRDefault="00BD02E0" w:rsidP="00BD02E0">
      <w:pPr>
        <w:spacing w:line="520" w:lineRule="exact"/>
        <w:jc w:val="center"/>
        <w:rPr>
          <w:rFonts w:ascii="微软雅黑" w:eastAsia="微软雅黑" w:hAnsi="微软雅黑"/>
          <w:b/>
          <w:sz w:val="24"/>
        </w:rPr>
      </w:pPr>
      <w:bookmarkStart w:id="0" w:name="_GoBack"/>
      <w:bookmarkEnd w:id="0"/>
      <w:r w:rsidRPr="00C127A5">
        <w:rPr>
          <w:rFonts w:ascii="微软雅黑" w:eastAsia="微软雅黑" w:hAnsi="微软雅黑"/>
          <w:b/>
          <w:sz w:val="24"/>
        </w:rPr>
        <w:t>深圳市城市更新单元规划容积率审查技术指引（试行）</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w:t>
      </w:r>
      <w:r>
        <w:rPr>
          <w:rFonts w:ascii="微软雅黑" w:eastAsia="微软雅黑" w:hAnsi="微软雅黑" w:hint="eastAsia"/>
          <w:sz w:val="20"/>
          <w:szCs w:val="20"/>
        </w:rPr>
        <w:t xml:space="preserve">  </w:t>
      </w:r>
      <w:r w:rsidRPr="00C127A5">
        <w:rPr>
          <w:rFonts w:ascii="微软雅黑" w:eastAsia="微软雅黑" w:hAnsi="微软雅黑"/>
          <w:b/>
          <w:sz w:val="20"/>
          <w:szCs w:val="20"/>
        </w:rPr>
        <w:t xml:space="preserve">第一条 </w:t>
      </w:r>
      <w:r w:rsidRPr="00C127A5">
        <w:rPr>
          <w:rFonts w:ascii="微软雅黑" w:eastAsia="微软雅黑" w:hAnsi="微软雅黑"/>
          <w:sz w:val="20"/>
          <w:szCs w:val="20"/>
        </w:rPr>
        <w:t>为规范城市更新单元规划容积率管理，依据《深圳市城市更新办法》、《深圳市城市更新单元规划编制技术规定（试行）》（以下简称《编制技术规定》）及《深圳市城市规划标准与准则》（以下简称《深标》）等，制定本指引。</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b/>
          <w:sz w:val="20"/>
          <w:szCs w:val="20"/>
        </w:rPr>
        <w:t xml:space="preserve">　　第二条</w:t>
      </w:r>
      <w:r w:rsidRPr="00C127A5">
        <w:rPr>
          <w:rFonts w:ascii="微软雅黑" w:eastAsia="微软雅黑" w:hAnsi="微软雅黑"/>
          <w:sz w:val="20"/>
          <w:szCs w:val="20"/>
        </w:rPr>
        <w:t xml:space="preserve"> 本指引适用于深圳市行政区域内城市更新单元规划容积率审查。</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w:t>
      </w:r>
      <w:r w:rsidRPr="00C127A5">
        <w:rPr>
          <w:rFonts w:ascii="微软雅黑" w:eastAsia="微软雅黑" w:hAnsi="微软雅黑"/>
          <w:b/>
          <w:sz w:val="20"/>
          <w:szCs w:val="20"/>
        </w:rPr>
        <w:t xml:space="preserve">　第三条</w:t>
      </w:r>
      <w:r w:rsidRPr="00C127A5">
        <w:rPr>
          <w:rFonts w:ascii="微软雅黑" w:eastAsia="微软雅黑" w:hAnsi="微软雅黑"/>
          <w:sz w:val="20"/>
          <w:szCs w:val="20"/>
        </w:rPr>
        <w:t xml:space="preserve"> 城市更新单元规划容积率是指城市更新单元内开发建设用地的计容积率建筑面积（以下简称“规划建筑面积”）与城市更新单元内开发建设用地面积的比率。</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城市更新单元内开发建设用地（以下简称“开发建设用地”）是指出让给项目实施主体进行开发建设的用地。规划建筑面积由基础建筑面积、转移建筑面积和奖励建筑面积构成。</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w:t>
      </w:r>
      <w:r w:rsidRPr="00C127A5">
        <w:rPr>
          <w:rFonts w:ascii="微软雅黑" w:eastAsia="微软雅黑" w:hAnsi="微软雅黑"/>
          <w:b/>
          <w:sz w:val="20"/>
          <w:szCs w:val="20"/>
        </w:rPr>
        <w:t xml:space="preserve">　第四条 </w:t>
      </w:r>
      <w:r w:rsidRPr="00C127A5">
        <w:rPr>
          <w:rFonts w:ascii="微软雅黑" w:eastAsia="微软雅黑" w:hAnsi="微软雅黑"/>
          <w:sz w:val="20"/>
          <w:szCs w:val="20"/>
        </w:rPr>
        <w:t>基础建筑面积是指开发建设用地各地块用地面积与对应的地块容积率的乘积之</w:t>
      </w:r>
      <w:proofErr w:type="gramStart"/>
      <w:r w:rsidRPr="00C127A5">
        <w:rPr>
          <w:rFonts w:ascii="微软雅黑" w:eastAsia="微软雅黑" w:hAnsi="微软雅黑"/>
          <w:sz w:val="20"/>
          <w:szCs w:val="20"/>
        </w:rPr>
        <w:t>和</w:t>
      </w:r>
      <w:proofErr w:type="gramEnd"/>
      <w:r w:rsidRPr="00C127A5">
        <w:rPr>
          <w:rFonts w:ascii="微软雅黑" w:eastAsia="微软雅黑" w:hAnsi="微软雅黑"/>
          <w:sz w:val="20"/>
          <w:szCs w:val="20"/>
        </w:rPr>
        <w:t>。基础容积率是基础建筑面积与开发建设用地的比率。其中，地块容积率按《深标》4.2条计算、取值，地块容积率涉及的居住、商业服务业用地的密度分区基准容积率及工业、物流仓储用地符合以下情形的，按本条规定取值：</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（一） 商业服务业用地位于原特区内或深圳市城市总体规划确定的城市主、副中心且位于《深标》密度三、四、五区时，按密度二区基准容积率取值；位于上述地区之外且位于《深标》密度四、五区时，按密度三区基准容积率取值。</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居住用地位于《深标》密度四、五区时，按密度三区基准容积率取值。</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（二） 新型产业用地位于城市轨道交通近期建设规划的地铁线路站点500米范围内或属市重大产业项目时，地块容积率按6.0取值；位于原特区内或深圳市城市总体规划确定的城市主、副中心及组团中心时，地块容积率按5.0取值；位于上述地区之外时，地块容积率按4.0取值。</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普通工业用地和现代物流用地地块容积率按4.0取值。</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市政府另有规定的按其规定执行。</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（三） 上述第（一）、（二）款各类用地位于大鹏新区（不含葵涌中心区）或二级水源保护区范围内时，应符合生态保护或水源保护等要求。其中，第（一）款各类用地基准容积率按《深标》密度分区基准容积率取值；第（二）款各类用地地块容积率取值经专题研究确定。</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w:t>
      </w:r>
      <w:r w:rsidRPr="00C127A5">
        <w:rPr>
          <w:rFonts w:ascii="微软雅黑" w:eastAsia="微软雅黑" w:hAnsi="微软雅黑"/>
          <w:b/>
          <w:sz w:val="20"/>
          <w:szCs w:val="20"/>
        </w:rPr>
        <w:t>第五条</w:t>
      </w:r>
      <w:r w:rsidRPr="00C127A5">
        <w:rPr>
          <w:rFonts w:ascii="微软雅黑" w:eastAsia="微软雅黑" w:hAnsi="微软雅黑"/>
          <w:sz w:val="20"/>
          <w:szCs w:val="20"/>
        </w:rPr>
        <w:t xml:space="preserve"> 转移建筑面积是指城市更新项目实际土地移交率超出基准土地移交率核算出的用地面积与基础容积率的乘积。</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lastRenderedPageBreak/>
        <w:t xml:space="preserve">　　实际土地移交率超出30%的产业升级类城市更新项目，方可按本条前款规定核算转移建筑面积。</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w:t>
      </w:r>
      <w:r w:rsidRPr="00C127A5">
        <w:rPr>
          <w:rFonts w:ascii="微软雅黑" w:eastAsia="微软雅黑" w:hAnsi="微软雅黑"/>
          <w:b/>
          <w:sz w:val="20"/>
          <w:szCs w:val="20"/>
        </w:rPr>
        <w:t xml:space="preserve">　第六条 </w:t>
      </w:r>
      <w:r w:rsidRPr="00C127A5">
        <w:rPr>
          <w:rFonts w:ascii="微软雅黑" w:eastAsia="微软雅黑" w:hAnsi="微软雅黑"/>
          <w:sz w:val="20"/>
          <w:szCs w:val="20"/>
        </w:rPr>
        <w:t>奖励建筑面积是指因公共利益需要，对符合以下情形的，依据城市更新有关规定及《深标》等给予的建筑面积奖励：</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（一） 开发建设用地中，依据深圳市城市更新项目保障性住房配建规定和深圳市城市更新项目创新型产业用房配建规定等要求，按建筑面积比例配建的保障性住房、创新型产业用房，其建筑面积作为奖励建筑面积。</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（二） 开发建设用地中，按已生效规划及《深标》等要求落实的附建式公共服务配套设施及市政配套设施，其建筑面积作为奖励建筑面积。</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上述市政配套设施中的公交综合车站或</w:t>
      </w:r>
      <w:proofErr w:type="gramStart"/>
      <w:r w:rsidRPr="00C127A5">
        <w:rPr>
          <w:rFonts w:ascii="微软雅黑" w:eastAsia="微软雅黑" w:hAnsi="微软雅黑"/>
          <w:sz w:val="20"/>
          <w:szCs w:val="20"/>
        </w:rPr>
        <w:t>公交首</w:t>
      </w:r>
      <w:proofErr w:type="gramEnd"/>
      <w:r w:rsidRPr="00C127A5">
        <w:rPr>
          <w:rFonts w:ascii="微软雅黑" w:eastAsia="微软雅黑" w:hAnsi="微软雅黑"/>
          <w:sz w:val="20"/>
          <w:szCs w:val="20"/>
        </w:rPr>
        <w:t>末站、垃圾转运站（含公共厕所）、变电站，如属在已生效规划基础上新增的，再奖励1倍建筑面积。</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（三） 开发建设用地中，提供建筑架空层或建筑室内空间并经核准作为公共空间的，设在建筑首层时按其对应建筑面积奖励2倍建筑面积；设在非建筑首层时按其对应建筑面积奖励1倍建筑面积。</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（四） 城市更新单元内地块与周边其他地块之间或城市更新单元内各地块之间，经核准设置架空</w:t>
      </w:r>
      <w:proofErr w:type="gramStart"/>
      <w:r w:rsidRPr="00C127A5">
        <w:rPr>
          <w:rFonts w:ascii="微软雅黑" w:eastAsia="微软雅黑" w:hAnsi="微软雅黑"/>
          <w:sz w:val="20"/>
          <w:szCs w:val="20"/>
        </w:rPr>
        <w:t>连廊并由</w:t>
      </w:r>
      <w:proofErr w:type="gramEnd"/>
      <w:r w:rsidRPr="00C127A5">
        <w:rPr>
          <w:rFonts w:ascii="微软雅黑" w:eastAsia="微软雅黑" w:hAnsi="微软雅黑"/>
          <w:sz w:val="20"/>
          <w:szCs w:val="20"/>
        </w:rPr>
        <w:t>实施主体承担建设责任及费用的，按其对应投影面积奖励1倍建筑面积。</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（五） 城市更新单元拆除用地范围内，因保留符合《深标》10.2.4.7条要求且无偿移交政府的历史建筑，按保留建筑的建筑面积及保留构筑物的投影面积之和奖励1.5倍建筑面积；有其他重大保护价值的，可适当增加奖励。同时，实施主体应承</w:t>
      </w:r>
      <w:proofErr w:type="gramStart"/>
      <w:r w:rsidRPr="00C127A5">
        <w:rPr>
          <w:rFonts w:ascii="微软雅黑" w:eastAsia="微软雅黑" w:hAnsi="微软雅黑"/>
          <w:sz w:val="20"/>
          <w:szCs w:val="20"/>
        </w:rPr>
        <w:t>担上述</w:t>
      </w:r>
      <w:proofErr w:type="gramEnd"/>
      <w:r w:rsidRPr="00C127A5">
        <w:rPr>
          <w:rFonts w:ascii="微软雅黑" w:eastAsia="微软雅黑" w:hAnsi="微软雅黑"/>
          <w:sz w:val="20"/>
          <w:szCs w:val="20"/>
        </w:rPr>
        <w:t>保留建、构筑物的活化和综合整治责任及费用。</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（六） 市政府规定的其他奖励情形。</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（七） 上述奖励建筑面积之和不超出基础建筑面积的30%。</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w:t>
      </w:r>
      <w:r w:rsidRPr="00C127A5">
        <w:rPr>
          <w:rFonts w:ascii="微软雅黑" w:eastAsia="微软雅黑" w:hAnsi="微软雅黑"/>
          <w:b/>
          <w:sz w:val="20"/>
          <w:szCs w:val="20"/>
        </w:rPr>
        <w:t>第七条</w:t>
      </w:r>
      <w:r w:rsidRPr="00C127A5">
        <w:rPr>
          <w:rFonts w:ascii="微软雅黑" w:eastAsia="微软雅黑" w:hAnsi="微软雅黑"/>
          <w:sz w:val="20"/>
          <w:szCs w:val="20"/>
        </w:rPr>
        <w:t xml:space="preserve"> 规划建筑面积的审查应按《编制技术规定》要求开展相关规划专项或专题论证。规划建筑面积应满足交通市政设施承载能力并符合机场净空、生态保护、特定城市设计等相关控制要求；规划居住建筑面积、商务公寓建筑面积还应满足所在片区教育、医疗、文化、体育等公共服务设施的承载能力。</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已批准列入更新计划的城中村、旧屋村、旧住宅区规划建筑面积的审查应综合考虑住房回迁、项目可实施性等因素。</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w:t>
      </w:r>
      <w:r w:rsidRPr="00C127A5">
        <w:rPr>
          <w:rFonts w:ascii="微软雅黑" w:eastAsia="微软雅黑" w:hAnsi="微软雅黑"/>
          <w:b/>
          <w:sz w:val="20"/>
          <w:szCs w:val="20"/>
        </w:rPr>
        <w:t xml:space="preserve">　第八条</w:t>
      </w:r>
      <w:r w:rsidRPr="00C127A5">
        <w:rPr>
          <w:rFonts w:ascii="微软雅黑" w:eastAsia="微软雅黑" w:hAnsi="微软雅黑"/>
          <w:sz w:val="20"/>
          <w:szCs w:val="20"/>
        </w:rPr>
        <w:t xml:space="preserve"> 在综合第三、四、五、六条规划建筑面积核算和第七条规划技术论证的基础上，拟定规划建筑面积并按法定程序批准确定。</w:t>
      </w:r>
    </w:p>
    <w:p w:rsidR="00BD02E0" w:rsidRPr="00C127A5"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t xml:space="preserve">　</w:t>
      </w:r>
      <w:r w:rsidRPr="00C127A5">
        <w:rPr>
          <w:rFonts w:ascii="微软雅黑" w:eastAsia="微软雅黑" w:hAnsi="微软雅黑"/>
          <w:b/>
          <w:sz w:val="20"/>
          <w:szCs w:val="20"/>
        </w:rPr>
        <w:t xml:space="preserve">　第九条</w:t>
      </w:r>
      <w:r w:rsidRPr="00C127A5">
        <w:rPr>
          <w:rFonts w:ascii="微软雅黑" w:eastAsia="微软雅黑" w:hAnsi="微软雅黑"/>
          <w:sz w:val="20"/>
          <w:szCs w:val="20"/>
        </w:rPr>
        <w:t xml:space="preserve"> 本指引施行前已通过市规划国土主管部门审议的城市更新单元规划，不适用本指引。</w:t>
      </w:r>
    </w:p>
    <w:p w:rsidR="002953FC" w:rsidRPr="00BD02E0" w:rsidRDefault="00BD02E0" w:rsidP="00BD02E0">
      <w:pPr>
        <w:spacing w:line="520" w:lineRule="exact"/>
        <w:rPr>
          <w:rFonts w:ascii="微软雅黑" w:eastAsia="微软雅黑" w:hAnsi="微软雅黑"/>
          <w:sz w:val="20"/>
          <w:szCs w:val="20"/>
        </w:rPr>
      </w:pPr>
      <w:r w:rsidRPr="00C127A5">
        <w:rPr>
          <w:rFonts w:ascii="微软雅黑" w:eastAsia="微软雅黑" w:hAnsi="微软雅黑"/>
          <w:sz w:val="20"/>
          <w:szCs w:val="20"/>
        </w:rPr>
        <w:lastRenderedPageBreak/>
        <w:t xml:space="preserve">　</w:t>
      </w:r>
      <w:r w:rsidRPr="00C127A5">
        <w:rPr>
          <w:rFonts w:ascii="微软雅黑" w:eastAsia="微软雅黑" w:hAnsi="微软雅黑"/>
          <w:b/>
          <w:sz w:val="20"/>
          <w:szCs w:val="20"/>
        </w:rPr>
        <w:t xml:space="preserve">　第十条 </w:t>
      </w:r>
      <w:r>
        <w:rPr>
          <w:rFonts w:ascii="微软雅黑" w:eastAsia="微软雅黑" w:hAnsi="微软雅黑"/>
          <w:sz w:val="20"/>
          <w:szCs w:val="20"/>
        </w:rPr>
        <w:t>本指引自公布之日施行，解释权归深圳市城市更新局</w:t>
      </w:r>
      <w:r>
        <w:rPr>
          <w:rFonts w:ascii="微软雅黑" w:eastAsia="微软雅黑" w:hAnsi="微软雅黑" w:hint="eastAsia"/>
          <w:sz w:val="20"/>
          <w:szCs w:val="20"/>
        </w:rPr>
        <w:t>。</w:t>
      </w:r>
    </w:p>
    <w:sectPr w:rsidR="002953FC" w:rsidRPr="00BD02E0" w:rsidSect="008A0674">
      <w:headerReference w:type="default" r:id="rId10"/>
      <w:footerReference w:type="default" r:id="rId11"/>
      <w:pgSz w:w="11906" w:h="16838"/>
      <w:pgMar w:top="1134" w:right="1134" w:bottom="1134" w:left="1134"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260" w:rsidRDefault="00B22260" w:rsidP="0082787A">
      <w:r>
        <w:separator/>
      </w:r>
    </w:p>
  </w:endnote>
  <w:endnote w:type="continuationSeparator" w:id="0">
    <w:p w:rsidR="00B22260" w:rsidRDefault="00B22260" w:rsidP="0082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28" w:rsidRDefault="00C43C28" w:rsidP="00C43C28">
    <w:pPr>
      <w:pStyle w:val="a6"/>
      <w:ind w:firstLineChars="3600" w:firstLine="6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260" w:rsidRDefault="00B22260" w:rsidP="0082787A">
      <w:r>
        <w:separator/>
      </w:r>
    </w:p>
  </w:footnote>
  <w:footnote w:type="continuationSeparator" w:id="0">
    <w:p w:rsidR="00B22260" w:rsidRDefault="00B22260" w:rsidP="0082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674" w:rsidRDefault="008A0674" w:rsidP="008A0674">
    <w:pPr>
      <w:pStyle w:val="a5"/>
      <w:jc w:val="left"/>
    </w:pPr>
    <w:r>
      <w:rPr>
        <w:noProof/>
      </w:rPr>
      <w:drawing>
        <wp:inline distT="0" distB="0" distL="0" distR="0" wp14:anchorId="743FDE1C" wp14:editId="5138C38B">
          <wp:extent cx="574040" cy="361315"/>
          <wp:effectExtent l="0" t="0" r="0" b="635"/>
          <wp:docPr id="3" name="图片 3" descr="汇编 版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汇编 版头"/>
                  <pic:cNvPicPr>
                    <a:picLocks noChangeAspect="1" noChangeArrowheads="1"/>
                  </pic:cNvPicPr>
                </pic:nvPicPr>
                <pic:blipFill>
                  <a:blip r:embed="rId1">
                    <a:extLst>
                      <a:ext uri="{28A0092B-C50C-407E-A947-70E740481C1C}">
                        <a14:useLocalDpi xmlns:a14="http://schemas.microsoft.com/office/drawing/2010/main" val="0"/>
                      </a:ext>
                    </a:extLst>
                  </a:blip>
                  <a:srcRect l="26666" t="41537"/>
                  <a:stretch>
                    <a:fillRect/>
                  </a:stretch>
                </pic:blipFill>
                <pic:spPr bwMode="auto">
                  <a:xfrm>
                    <a:off x="0" y="0"/>
                    <a:ext cx="574040" cy="361315"/>
                  </a:xfrm>
                  <a:prstGeom prst="rect">
                    <a:avLst/>
                  </a:prstGeom>
                  <a:noFill/>
                  <a:ln>
                    <a:noFill/>
                  </a:ln>
                </pic:spPr>
              </pic:pic>
            </a:graphicData>
          </a:graphic>
        </wp:inline>
      </w:drawing>
    </w:r>
  </w:p>
  <w:p w:rsidR="008A0674" w:rsidRDefault="008A0674" w:rsidP="008A0674">
    <w:pPr>
      <w:pStyle w:val="a5"/>
      <w:wordWrap w:val="0"/>
      <w:jc w:val="right"/>
    </w:pPr>
    <w:r>
      <w:rPr>
        <w:rFonts w:ascii="微软雅黑" w:eastAsia="微软雅黑" w:hAnsi="微软雅黑" w:hint="eastAsia"/>
        <w:color w:val="595959" w:themeColor="text1" w:themeTint="A6"/>
        <w:sz w:val="15"/>
        <w:szCs w:val="15"/>
      </w:rPr>
      <w:t>第二篇 城市更新操作流程</w:t>
    </w:r>
  </w:p>
  <w:p w:rsidR="004D7B69" w:rsidRPr="008A0674" w:rsidRDefault="004D7B69" w:rsidP="008A06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ind w:left="391" w:hanging="420"/>
      </w:pPr>
    </w:lvl>
    <w:lvl w:ilvl="1">
      <w:start w:val="1"/>
      <w:numFmt w:val="lowerLetter"/>
      <w:lvlText w:val="%2)"/>
      <w:lvlJc w:val="left"/>
      <w:pPr>
        <w:ind w:left="811" w:hanging="420"/>
      </w:pPr>
    </w:lvl>
    <w:lvl w:ilvl="2">
      <w:start w:val="1"/>
      <w:numFmt w:val="lowerRoman"/>
      <w:lvlText w:val="%3."/>
      <w:lvlJc w:val="right"/>
      <w:pPr>
        <w:ind w:left="1231" w:hanging="420"/>
      </w:pPr>
    </w:lvl>
    <w:lvl w:ilvl="3">
      <w:start w:val="1"/>
      <w:numFmt w:val="decimal"/>
      <w:lvlText w:val="%4."/>
      <w:lvlJc w:val="left"/>
      <w:pPr>
        <w:ind w:left="1651" w:hanging="420"/>
      </w:pPr>
    </w:lvl>
    <w:lvl w:ilvl="4">
      <w:start w:val="1"/>
      <w:numFmt w:val="lowerLetter"/>
      <w:lvlText w:val="%5)"/>
      <w:lvlJc w:val="left"/>
      <w:pPr>
        <w:ind w:left="2071" w:hanging="420"/>
      </w:pPr>
    </w:lvl>
    <w:lvl w:ilvl="5">
      <w:start w:val="1"/>
      <w:numFmt w:val="lowerRoman"/>
      <w:lvlText w:val="%6."/>
      <w:lvlJc w:val="right"/>
      <w:pPr>
        <w:ind w:left="2491" w:hanging="420"/>
      </w:pPr>
    </w:lvl>
    <w:lvl w:ilvl="6">
      <w:start w:val="1"/>
      <w:numFmt w:val="decimal"/>
      <w:lvlText w:val="%7."/>
      <w:lvlJc w:val="left"/>
      <w:pPr>
        <w:ind w:left="2911" w:hanging="420"/>
      </w:pPr>
    </w:lvl>
    <w:lvl w:ilvl="7">
      <w:start w:val="1"/>
      <w:numFmt w:val="lowerLetter"/>
      <w:lvlText w:val="%8)"/>
      <w:lvlJc w:val="left"/>
      <w:pPr>
        <w:ind w:left="3331" w:hanging="420"/>
      </w:pPr>
    </w:lvl>
    <w:lvl w:ilvl="8">
      <w:start w:val="1"/>
      <w:numFmt w:val="lowerRoman"/>
      <w:lvlText w:val="%9."/>
      <w:lvlJc w:val="right"/>
      <w:pPr>
        <w:ind w:left="3751"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decimal"/>
      <w:lvlText w:val="%3）"/>
      <w:lvlJc w:val="left"/>
      <w:pPr>
        <w:tabs>
          <w:tab w:val="num" w:pos="1200"/>
        </w:tabs>
        <w:ind w:left="1200" w:hanging="360"/>
      </w:pPr>
      <w:rPr>
        <w:rFonts w:hint="default"/>
      </w:rPr>
    </w:lvl>
    <w:lvl w:ilvl="3">
      <w:start w:val="2"/>
      <w:numFmt w:val="japaneseCounting"/>
      <w:lvlText w:val="%4、"/>
      <w:lvlJc w:val="left"/>
      <w:pPr>
        <w:ind w:left="1710" w:hanging="450"/>
      </w:pPr>
      <w:rPr>
        <w:rFonts w:cs="Times New Roman"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2"/>
    <w:multiLevelType w:val="multilevel"/>
    <w:tmpl w:val="0000001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5"/>
    <w:multiLevelType w:val="multilevel"/>
    <w:tmpl w:val="00000015"/>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480"/>
        </w:tabs>
        <w:ind w:left="480" w:hanging="420"/>
      </w:pPr>
    </w:lvl>
    <w:lvl w:ilvl="2">
      <w:start w:val="1"/>
      <w:numFmt w:val="lowerRoman"/>
      <w:lvlText w:val="%3."/>
      <w:lvlJc w:val="right"/>
      <w:pPr>
        <w:tabs>
          <w:tab w:val="num" w:pos="900"/>
        </w:tabs>
        <w:ind w:left="900" w:hanging="420"/>
      </w:pPr>
    </w:lvl>
    <w:lvl w:ilvl="3">
      <w:start w:val="1"/>
      <w:numFmt w:val="decimal"/>
      <w:lvlText w:val="%4."/>
      <w:lvlJc w:val="left"/>
      <w:pPr>
        <w:tabs>
          <w:tab w:val="num" w:pos="1320"/>
        </w:tabs>
        <w:ind w:left="1320" w:hanging="420"/>
      </w:pPr>
    </w:lvl>
    <w:lvl w:ilvl="4">
      <w:start w:val="1"/>
      <w:numFmt w:val="lowerLetter"/>
      <w:lvlText w:val="%5)"/>
      <w:lvlJc w:val="left"/>
      <w:pPr>
        <w:tabs>
          <w:tab w:val="num" w:pos="1740"/>
        </w:tabs>
        <w:ind w:left="1740" w:hanging="420"/>
      </w:pPr>
    </w:lvl>
    <w:lvl w:ilvl="5">
      <w:start w:val="1"/>
      <w:numFmt w:val="lowerRoman"/>
      <w:lvlText w:val="%6."/>
      <w:lvlJc w:val="right"/>
      <w:pPr>
        <w:tabs>
          <w:tab w:val="num" w:pos="2160"/>
        </w:tabs>
        <w:ind w:left="2160" w:hanging="420"/>
      </w:pPr>
    </w:lvl>
    <w:lvl w:ilvl="6">
      <w:start w:val="1"/>
      <w:numFmt w:val="decimal"/>
      <w:lvlText w:val="%7."/>
      <w:lvlJc w:val="left"/>
      <w:pPr>
        <w:tabs>
          <w:tab w:val="num" w:pos="2580"/>
        </w:tabs>
        <w:ind w:left="2580" w:hanging="420"/>
      </w:pPr>
    </w:lvl>
    <w:lvl w:ilvl="7">
      <w:start w:val="1"/>
      <w:numFmt w:val="lowerLetter"/>
      <w:lvlText w:val="%8)"/>
      <w:lvlJc w:val="left"/>
      <w:pPr>
        <w:tabs>
          <w:tab w:val="num" w:pos="3000"/>
        </w:tabs>
        <w:ind w:left="3000" w:hanging="420"/>
      </w:pPr>
    </w:lvl>
    <w:lvl w:ilvl="8">
      <w:start w:val="1"/>
      <w:numFmt w:val="lowerRoman"/>
      <w:lvlText w:val="%9."/>
      <w:lvlJc w:val="right"/>
      <w:pPr>
        <w:tabs>
          <w:tab w:val="num" w:pos="3420"/>
        </w:tabs>
        <w:ind w:left="3420" w:hanging="420"/>
      </w:pPr>
    </w:lvl>
  </w:abstractNum>
  <w:abstractNum w:abstractNumId="5">
    <w:nsid w:val="038A6208"/>
    <w:multiLevelType w:val="hybridMultilevel"/>
    <w:tmpl w:val="E27A0B62"/>
    <w:lvl w:ilvl="0" w:tplc="AE78E48E">
      <w:start w:val="1"/>
      <w:numFmt w:val="japaneseCounting"/>
      <w:lvlText w:val="（%1）"/>
      <w:lvlJc w:val="left"/>
      <w:pPr>
        <w:ind w:left="2235" w:hanging="159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09040130"/>
    <w:multiLevelType w:val="hybridMultilevel"/>
    <w:tmpl w:val="DD42D452"/>
    <w:lvl w:ilvl="0" w:tplc="27486980">
      <w:start w:val="1"/>
      <w:numFmt w:val="decimal"/>
      <w:lvlText w:val="（%1）"/>
      <w:lvlJc w:val="left"/>
      <w:pPr>
        <w:ind w:left="1560" w:hanging="108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C4975D4"/>
    <w:multiLevelType w:val="hybridMultilevel"/>
    <w:tmpl w:val="686EA15E"/>
    <w:lvl w:ilvl="0" w:tplc="C07C0BD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07D4AAA"/>
    <w:multiLevelType w:val="hybridMultilevel"/>
    <w:tmpl w:val="C0ECB676"/>
    <w:lvl w:ilvl="0" w:tplc="7402CB0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C337B1"/>
    <w:multiLevelType w:val="hybridMultilevel"/>
    <w:tmpl w:val="2990E5D4"/>
    <w:lvl w:ilvl="0" w:tplc="AE8CA8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4FD5278"/>
    <w:multiLevelType w:val="hybridMultilevel"/>
    <w:tmpl w:val="269C8A8A"/>
    <w:lvl w:ilvl="0" w:tplc="D6E469C4">
      <w:start w:val="1"/>
      <w:numFmt w:val="japaneseCounting"/>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1">
    <w:nsid w:val="21F902AD"/>
    <w:multiLevelType w:val="hybridMultilevel"/>
    <w:tmpl w:val="65CA8D7E"/>
    <w:lvl w:ilvl="0" w:tplc="0D72169A">
      <w:start w:val="1"/>
      <w:numFmt w:val="decimal"/>
      <w:lvlText w:val="%1）"/>
      <w:lvlJc w:val="left"/>
      <w:pPr>
        <w:ind w:left="360" w:hanging="360"/>
      </w:pPr>
      <w:rPr>
        <w:rFonts w:ascii="宋体" w:eastAsia="Times New Roman" w:hAnsi="宋体" w:hint="eastAsia"/>
        <w:b/>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2731423C"/>
    <w:multiLevelType w:val="hybridMultilevel"/>
    <w:tmpl w:val="6F163BAA"/>
    <w:lvl w:ilvl="0" w:tplc="5E44B0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E471981"/>
    <w:multiLevelType w:val="hybridMultilevel"/>
    <w:tmpl w:val="26BC7480"/>
    <w:lvl w:ilvl="0" w:tplc="66368022">
      <w:start w:val="1"/>
      <w:numFmt w:val="japaneseCounting"/>
      <w:lvlText w:val="（%1）"/>
      <w:lvlJc w:val="left"/>
      <w:pPr>
        <w:ind w:left="2235" w:hanging="159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nsid w:val="39CC7641"/>
    <w:multiLevelType w:val="hybridMultilevel"/>
    <w:tmpl w:val="388E11E8"/>
    <w:lvl w:ilvl="0" w:tplc="EBD4D56C">
      <w:start w:val="1"/>
      <w:numFmt w:val="japaneseCounting"/>
      <w:lvlText w:val="第%1章"/>
      <w:lvlJc w:val="left"/>
      <w:pPr>
        <w:ind w:left="1485" w:hanging="1485"/>
      </w:pPr>
      <w:rPr>
        <w:rFonts w:hint="default"/>
        <w:b/>
        <w:i w:val="0"/>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8779B3"/>
    <w:multiLevelType w:val="hybridMultilevel"/>
    <w:tmpl w:val="7ECE2FCE"/>
    <w:lvl w:ilvl="0" w:tplc="B672E9D6">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nsid w:val="52C77404"/>
    <w:multiLevelType w:val="hybridMultilevel"/>
    <w:tmpl w:val="B18E2916"/>
    <w:lvl w:ilvl="0" w:tplc="F7BC78D2">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54F78C7"/>
    <w:multiLevelType w:val="hybridMultilevel"/>
    <w:tmpl w:val="A0E62D48"/>
    <w:lvl w:ilvl="0" w:tplc="70329F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FF453EE"/>
    <w:multiLevelType w:val="hybridMultilevel"/>
    <w:tmpl w:val="1C2E574E"/>
    <w:lvl w:ilvl="0" w:tplc="46F0DF4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A43039"/>
    <w:multiLevelType w:val="hybridMultilevel"/>
    <w:tmpl w:val="4FAC0BE8"/>
    <w:lvl w:ilvl="0" w:tplc="FE5E21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EF873AC"/>
    <w:multiLevelType w:val="hybridMultilevel"/>
    <w:tmpl w:val="F07E9E36"/>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5411407"/>
    <w:multiLevelType w:val="hybridMultilevel"/>
    <w:tmpl w:val="2248A87E"/>
    <w:lvl w:ilvl="0" w:tplc="68F8723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AAF62C6"/>
    <w:multiLevelType w:val="hybridMultilevel"/>
    <w:tmpl w:val="C4627BA4"/>
    <w:lvl w:ilvl="0" w:tplc="B6685888">
      <w:start w:val="1"/>
      <w:numFmt w:val="japaneseCounting"/>
      <w:lvlText w:val="第%1章"/>
      <w:lvlJc w:val="left"/>
      <w:pPr>
        <w:ind w:left="1929" w:hanging="795"/>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17"/>
  </w:num>
  <w:num w:numId="2">
    <w:abstractNumId w:val="1"/>
  </w:num>
  <w:num w:numId="3">
    <w:abstractNumId w:val="2"/>
  </w:num>
  <w:num w:numId="4">
    <w:abstractNumId w:val="4"/>
  </w:num>
  <w:num w:numId="5">
    <w:abstractNumId w:val="3"/>
  </w:num>
  <w:num w:numId="6">
    <w:abstractNumId w:val="0"/>
  </w:num>
  <w:num w:numId="7">
    <w:abstractNumId w:val="18"/>
  </w:num>
  <w:num w:numId="8">
    <w:abstractNumId w:val="7"/>
  </w:num>
  <w:num w:numId="9">
    <w:abstractNumId w:val="19"/>
  </w:num>
  <w:num w:numId="10">
    <w:abstractNumId w:val="16"/>
  </w:num>
  <w:num w:numId="11">
    <w:abstractNumId w:val="21"/>
  </w:num>
  <w:num w:numId="12">
    <w:abstractNumId w:val="12"/>
  </w:num>
  <w:num w:numId="13">
    <w:abstractNumId w:val="6"/>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5"/>
  </w:num>
  <w:num w:numId="19">
    <w:abstractNumId w:val="1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04F82"/>
    <w:rsid w:val="00021A87"/>
    <w:rsid w:val="00080FE1"/>
    <w:rsid w:val="000B478B"/>
    <w:rsid w:val="0014354E"/>
    <w:rsid w:val="001555DB"/>
    <w:rsid w:val="00186459"/>
    <w:rsid w:val="001A2CE0"/>
    <w:rsid w:val="001A5BA5"/>
    <w:rsid w:val="001B25E1"/>
    <w:rsid w:val="002953FC"/>
    <w:rsid w:val="002A20E2"/>
    <w:rsid w:val="002D6CA0"/>
    <w:rsid w:val="003656F0"/>
    <w:rsid w:val="003F1245"/>
    <w:rsid w:val="004D7B69"/>
    <w:rsid w:val="005305BA"/>
    <w:rsid w:val="005A6DB4"/>
    <w:rsid w:val="005C7C12"/>
    <w:rsid w:val="005D62A8"/>
    <w:rsid w:val="00644100"/>
    <w:rsid w:val="006D62B0"/>
    <w:rsid w:val="0073435E"/>
    <w:rsid w:val="00741E37"/>
    <w:rsid w:val="00750387"/>
    <w:rsid w:val="007B7DE8"/>
    <w:rsid w:val="007D292E"/>
    <w:rsid w:val="007E10E3"/>
    <w:rsid w:val="0082787A"/>
    <w:rsid w:val="008306ED"/>
    <w:rsid w:val="00834074"/>
    <w:rsid w:val="00876E95"/>
    <w:rsid w:val="008A0674"/>
    <w:rsid w:val="008E7367"/>
    <w:rsid w:val="00922831"/>
    <w:rsid w:val="009C3BBC"/>
    <w:rsid w:val="009D3553"/>
    <w:rsid w:val="00A2308B"/>
    <w:rsid w:val="00A625A1"/>
    <w:rsid w:val="00AA57E8"/>
    <w:rsid w:val="00AC3379"/>
    <w:rsid w:val="00AC4F1F"/>
    <w:rsid w:val="00B01CC5"/>
    <w:rsid w:val="00B22260"/>
    <w:rsid w:val="00BD02E0"/>
    <w:rsid w:val="00C43C28"/>
    <w:rsid w:val="00C66CF9"/>
    <w:rsid w:val="00C6704B"/>
    <w:rsid w:val="00CF4BF3"/>
    <w:rsid w:val="00D83410"/>
    <w:rsid w:val="00D940FA"/>
    <w:rsid w:val="00D96622"/>
    <w:rsid w:val="00E12F4E"/>
    <w:rsid w:val="00F15316"/>
    <w:rsid w:val="00F87F63"/>
    <w:rsid w:val="00FA528A"/>
    <w:rsid w:val="00FB3FEC"/>
    <w:rsid w:val="00FC177A"/>
    <w:rsid w:val="201E1886"/>
    <w:rsid w:val="35B04F82"/>
    <w:rsid w:val="3DFE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656F0"/>
    <w:pPr>
      <w:keepNext/>
      <w:keepLines/>
      <w:tabs>
        <w:tab w:val="left" w:pos="480"/>
      </w:tabs>
      <w:spacing w:beforeLines="100" w:before="312" w:afterLines="50" w:after="156" w:line="360" w:lineRule="auto"/>
      <w:ind w:firstLineChars="200" w:firstLine="200"/>
      <w:jc w:val="left"/>
      <w:outlineLvl w:val="0"/>
    </w:pPr>
    <w:rPr>
      <w:rFonts w:ascii="Calibri" w:eastAsia="黑体" w:hAnsi="Calibri" w:cs="Times New Roman"/>
      <w:b/>
      <w:bCs/>
      <w:kern w:val="44"/>
      <w:sz w:val="30"/>
      <w:szCs w:val="44"/>
      <w:lang w:val="x-none" w:eastAsia="x-none"/>
    </w:rPr>
  </w:style>
  <w:style w:type="paragraph" w:styleId="2">
    <w:name w:val="heading 2"/>
    <w:basedOn w:val="a"/>
    <w:next w:val="a"/>
    <w:link w:val="2Char"/>
    <w:uiPriority w:val="9"/>
    <w:qFormat/>
    <w:rsid w:val="003656F0"/>
    <w:pPr>
      <w:keepNext/>
      <w:keepLines/>
      <w:spacing w:beforeLines="50" w:before="156" w:afterLines="50" w:after="156" w:line="400" w:lineRule="atLeast"/>
      <w:ind w:firstLineChars="200" w:firstLine="200"/>
      <w:outlineLvl w:val="1"/>
    </w:pPr>
    <w:rPr>
      <w:rFonts w:ascii="Arial" w:eastAsia="宋体" w:hAnsi="Arial" w:cs="Times New Roman"/>
      <w:b/>
      <w:bCs/>
      <w:kern w:val="0"/>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82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787A"/>
    <w:rPr>
      <w:rFonts w:asciiTheme="minorHAnsi" w:eastAsiaTheme="minorEastAsia" w:hAnsiTheme="minorHAnsi" w:cstheme="minorBidi"/>
      <w:kern w:val="2"/>
      <w:sz w:val="18"/>
      <w:szCs w:val="18"/>
    </w:rPr>
  </w:style>
  <w:style w:type="paragraph" w:styleId="a6">
    <w:name w:val="footer"/>
    <w:basedOn w:val="a"/>
    <w:link w:val="Char0"/>
    <w:uiPriority w:val="99"/>
    <w:rsid w:val="0082787A"/>
    <w:pPr>
      <w:tabs>
        <w:tab w:val="center" w:pos="4153"/>
        <w:tab w:val="right" w:pos="8306"/>
      </w:tabs>
      <w:snapToGrid w:val="0"/>
      <w:jc w:val="left"/>
    </w:pPr>
    <w:rPr>
      <w:sz w:val="18"/>
      <w:szCs w:val="18"/>
    </w:rPr>
  </w:style>
  <w:style w:type="character" w:customStyle="1" w:styleId="Char0">
    <w:name w:val="页脚 Char"/>
    <w:basedOn w:val="a0"/>
    <w:link w:val="a6"/>
    <w:uiPriority w:val="99"/>
    <w:rsid w:val="0082787A"/>
    <w:rPr>
      <w:rFonts w:asciiTheme="minorHAnsi" w:eastAsiaTheme="minorEastAsia" w:hAnsiTheme="minorHAnsi" w:cstheme="minorBidi"/>
      <w:kern w:val="2"/>
      <w:sz w:val="18"/>
      <w:szCs w:val="18"/>
    </w:rPr>
  </w:style>
  <w:style w:type="paragraph" w:styleId="a7">
    <w:name w:val="Balloon Text"/>
    <w:basedOn w:val="a"/>
    <w:link w:val="Char1"/>
    <w:uiPriority w:val="99"/>
    <w:rsid w:val="004D7B69"/>
    <w:rPr>
      <w:sz w:val="18"/>
      <w:szCs w:val="18"/>
    </w:rPr>
  </w:style>
  <w:style w:type="character" w:customStyle="1" w:styleId="Char1">
    <w:name w:val="批注框文本 Char"/>
    <w:basedOn w:val="a0"/>
    <w:link w:val="a7"/>
    <w:uiPriority w:val="99"/>
    <w:rsid w:val="004D7B69"/>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3656F0"/>
    <w:rPr>
      <w:rFonts w:ascii="Calibri" w:eastAsia="黑体" w:hAnsi="Calibri"/>
      <w:b/>
      <w:bCs/>
      <w:kern w:val="44"/>
      <w:sz w:val="30"/>
      <w:szCs w:val="44"/>
      <w:lang w:val="x-none" w:eastAsia="x-none"/>
    </w:rPr>
  </w:style>
  <w:style w:type="character" w:customStyle="1" w:styleId="2Char">
    <w:name w:val="标题 2 Char"/>
    <w:basedOn w:val="a0"/>
    <w:link w:val="2"/>
    <w:uiPriority w:val="9"/>
    <w:rsid w:val="003656F0"/>
    <w:rPr>
      <w:rFonts w:ascii="Arial" w:hAnsi="Arial"/>
      <w:b/>
      <w:bCs/>
      <w:sz w:val="24"/>
      <w:szCs w:val="32"/>
      <w:lang w:val="x-none" w:eastAsia="x-none"/>
    </w:rPr>
  </w:style>
  <w:style w:type="character" w:styleId="a8">
    <w:name w:val="annotation reference"/>
    <w:rsid w:val="003656F0"/>
    <w:rPr>
      <w:sz w:val="21"/>
      <w:szCs w:val="21"/>
    </w:rPr>
  </w:style>
  <w:style w:type="character" w:styleId="a9">
    <w:name w:val="endnote reference"/>
    <w:rsid w:val="003656F0"/>
    <w:rPr>
      <w:vertAlign w:val="superscript"/>
    </w:rPr>
  </w:style>
  <w:style w:type="character" w:styleId="aa">
    <w:name w:val="page number"/>
    <w:basedOn w:val="a0"/>
    <w:rsid w:val="003656F0"/>
  </w:style>
  <w:style w:type="character" w:customStyle="1" w:styleId="Char2">
    <w:name w:val="标题 Char"/>
    <w:link w:val="ab"/>
    <w:rsid w:val="003656F0"/>
    <w:rPr>
      <w:rFonts w:ascii="Cambria" w:hAnsi="Cambria"/>
      <w:b/>
      <w:bCs/>
      <w:sz w:val="32"/>
      <w:szCs w:val="32"/>
    </w:rPr>
  </w:style>
  <w:style w:type="character" w:customStyle="1" w:styleId="Char3">
    <w:name w:val="脚注文本 Char"/>
    <w:link w:val="ac"/>
    <w:rsid w:val="003656F0"/>
    <w:rPr>
      <w:rFonts w:ascii="Calibri" w:hAnsi="Calibri"/>
      <w:sz w:val="18"/>
      <w:szCs w:val="18"/>
    </w:rPr>
  </w:style>
  <w:style w:type="character" w:customStyle="1" w:styleId="Char4">
    <w:name w:val="尾注文本 Char"/>
    <w:link w:val="ad"/>
    <w:rsid w:val="003656F0"/>
    <w:rPr>
      <w:rFonts w:ascii="Calibri" w:hAnsi="Calibri"/>
    </w:rPr>
  </w:style>
  <w:style w:type="character" w:customStyle="1" w:styleId="Char5">
    <w:name w:val="批注文字 Char"/>
    <w:link w:val="ae"/>
    <w:rsid w:val="003656F0"/>
    <w:rPr>
      <w:rFonts w:ascii="Calibri" w:hAnsi="Calibri"/>
    </w:rPr>
  </w:style>
  <w:style w:type="character" w:customStyle="1" w:styleId="Char6">
    <w:name w:val="批注主题 Char"/>
    <w:link w:val="af"/>
    <w:rsid w:val="003656F0"/>
    <w:rPr>
      <w:rFonts w:ascii="Calibri" w:hAnsi="Calibri"/>
      <w:b/>
      <w:bCs/>
    </w:rPr>
  </w:style>
  <w:style w:type="character" w:customStyle="1" w:styleId="Char7">
    <w:name w:val="文档结构图 Char"/>
    <w:link w:val="af0"/>
    <w:uiPriority w:val="99"/>
    <w:rsid w:val="003656F0"/>
    <w:rPr>
      <w:rFonts w:ascii="宋体" w:hAnsi="Calibri"/>
      <w:sz w:val="18"/>
      <w:szCs w:val="18"/>
    </w:rPr>
  </w:style>
  <w:style w:type="character" w:customStyle="1" w:styleId="Char10">
    <w:name w:val="页眉 Char1"/>
    <w:uiPriority w:val="99"/>
    <w:semiHidden/>
    <w:rsid w:val="003656F0"/>
    <w:rPr>
      <w:rFonts w:ascii="Calibri" w:eastAsia="宋体" w:hAnsi="Calibri" w:cs="Times New Roman"/>
      <w:sz w:val="18"/>
      <w:szCs w:val="18"/>
    </w:rPr>
  </w:style>
  <w:style w:type="paragraph" w:styleId="af0">
    <w:name w:val="Document Map"/>
    <w:basedOn w:val="a"/>
    <w:link w:val="Char7"/>
    <w:uiPriority w:val="99"/>
    <w:rsid w:val="003656F0"/>
    <w:pPr>
      <w:spacing w:beforeLines="50" w:before="156" w:afterLines="50" w:after="156" w:line="340" w:lineRule="exact"/>
      <w:ind w:firstLineChars="200" w:firstLine="200"/>
    </w:pPr>
    <w:rPr>
      <w:rFonts w:ascii="宋体" w:eastAsia="宋体" w:hAnsi="Calibri" w:cs="Times New Roman"/>
      <w:kern w:val="0"/>
      <w:sz w:val="18"/>
      <w:szCs w:val="18"/>
    </w:rPr>
  </w:style>
  <w:style w:type="character" w:customStyle="1" w:styleId="Char11">
    <w:name w:val="文档结构图 Char1"/>
    <w:basedOn w:val="a0"/>
    <w:uiPriority w:val="99"/>
    <w:semiHidden/>
    <w:rsid w:val="003656F0"/>
    <w:rPr>
      <w:rFonts w:ascii="宋体" w:hAnsiTheme="minorHAnsi" w:cstheme="minorBidi"/>
      <w:kern w:val="2"/>
      <w:sz w:val="18"/>
      <w:szCs w:val="18"/>
    </w:rPr>
  </w:style>
  <w:style w:type="paragraph" w:styleId="ab">
    <w:name w:val="Title"/>
    <w:basedOn w:val="a"/>
    <w:next w:val="a"/>
    <w:link w:val="Char2"/>
    <w:qFormat/>
    <w:rsid w:val="003656F0"/>
    <w:pPr>
      <w:spacing w:before="240" w:after="60" w:line="340" w:lineRule="exact"/>
      <w:ind w:firstLineChars="200" w:firstLine="200"/>
      <w:jc w:val="center"/>
      <w:outlineLvl w:val="0"/>
    </w:pPr>
    <w:rPr>
      <w:rFonts w:ascii="Cambria" w:eastAsia="宋体" w:hAnsi="Cambria" w:cs="Times New Roman"/>
      <w:b/>
      <w:bCs/>
      <w:kern w:val="0"/>
      <w:sz w:val="32"/>
      <w:szCs w:val="32"/>
    </w:rPr>
  </w:style>
  <w:style w:type="character" w:customStyle="1" w:styleId="Char12">
    <w:name w:val="标题 Char1"/>
    <w:basedOn w:val="a0"/>
    <w:uiPriority w:val="10"/>
    <w:rsid w:val="003656F0"/>
    <w:rPr>
      <w:rFonts w:asciiTheme="majorHAnsi" w:hAnsiTheme="majorHAnsi" w:cstheme="majorBidi"/>
      <w:b/>
      <w:bCs/>
      <w:kern w:val="2"/>
      <w:sz w:val="32"/>
      <w:szCs w:val="32"/>
    </w:rPr>
  </w:style>
  <w:style w:type="paragraph" w:styleId="ae">
    <w:name w:val="annotation text"/>
    <w:basedOn w:val="a"/>
    <w:link w:val="Char5"/>
    <w:rsid w:val="003656F0"/>
    <w:pPr>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3">
    <w:name w:val="批注文字 Char1"/>
    <w:basedOn w:val="a0"/>
    <w:uiPriority w:val="99"/>
    <w:semiHidden/>
    <w:rsid w:val="003656F0"/>
    <w:rPr>
      <w:rFonts w:asciiTheme="minorHAnsi" w:eastAsiaTheme="minorEastAsia" w:hAnsiTheme="minorHAnsi" w:cstheme="minorBidi"/>
      <w:kern w:val="2"/>
      <w:sz w:val="21"/>
      <w:szCs w:val="24"/>
    </w:rPr>
  </w:style>
  <w:style w:type="paragraph" w:styleId="ad">
    <w:name w:val="endnote text"/>
    <w:basedOn w:val="a"/>
    <w:link w:val="Char4"/>
    <w:rsid w:val="003656F0"/>
    <w:pPr>
      <w:snapToGrid w:val="0"/>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4">
    <w:name w:val="尾注文本 Char1"/>
    <w:basedOn w:val="a0"/>
    <w:uiPriority w:val="99"/>
    <w:semiHidden/>
    <w:rsid w:val="003656F0"/>
    <w:rPr>
      <w:rFonts w:asciiTheme="minorHAnsi" w:eastAsiaTheme="minorEastAsia" w:hAnsiTheme="minorHAnsi" w:cstheme="minorBidi"/>
      <w:kern w:val="2"/>
      <w:sz w:val="21"/>
      <w:szCs w:val="24"/>
    </w:rPr>
  </w:style>
  <w:style w:type="paragraph" w:styleId="af">
    <w:name w:val="annotation subject"/>
    <w:basedOn w:val="ae"/>
    <w:next w:val="ae"/>
    <w:link w:val="Char6"/>
    <w:rsid w:val="003656F0"/>
    <w:rPr>
      <w:b/>
      <w:bCs/>
    </w:rPr>
  </w:style>
  <w:style w:type="character" w:customStyle="1" w:styleId="Char15">
    <w:name w:val="批注主题 Char1"/>
    <w:basedOn w:val="Char13"/>
    <w:uiPriority w:val="99"/>
    <w:semiHidden/>
    <w:rsid w:val="003656F0"/>
    <w:rPr>
      <w:rFonts w:asciiTheme="minorHAnsi" w:eastAsiaTheme="minorEastAsia" w:hAnsiTheme="minorHAnsi" w:cstheme="minorBidi"/>
      <w:b/>
      <w:bCs/>
      <w:kern w:val="2"/>
      <w:sz w:val="21"/>
      <w:szCs w:val="24"/>
    </w:rPr>
  </w:style>
  <w:style w:type="character" w:customStyle="1" w:styleId="Char16">
    <w:name w:val="页脚 Char1"/>
    <w:uiPriority w:val="99"/>
    <w:semiHidden/>
    <w:rsid w:val="003656F0"/>
    <w:rPr>
      <w:rFonts w:ascii="Calibri" w:eastAsia="宋体" w:hAnsi="Calibri" w:cs="Times New Roman"/>
      <w:sz w:val="18"/>
      <w:szCs w:val="18"/>
    </w:rPr>
  </w:style>
  <w:style w:type="character" w:customStyle="1" w:styleId="Char17">
    <w:name w:val="批注框文本 Char1"/>
    <w:uiPriority w:val="99"/>
    <w:semiHidden/>
    <w:rsid w:val="003656F0"/>
    <w:rPr>
      <w:rFonts w:ascii="Calibri" w:eastAsia="宋体" w:hAnsi="Calibri" w:cs="Times New Roman"/>
      <w:sz w:val="18"/>
      <w:szCs w:val="18"/>
    </w:rPr>
  </w:style>
  <w:style w:type="paragraph" w:styleId="ac">
    <w:name w:val="footnote text"/>
    <w:basedOn w:val="a"/>
    <w:link w:val="Char3"/>
    <w:rsid w:val="003656F0"/>
    <w:pPr>
      <w:snapToGrid w:val="0"/>
      <w:spacing w:beforeLines="50" w:before="156" w:afterLines="50" w:after="156" w:line="340" w:lineRule="exact"/>
      <w:ind w:firstLineChars="200" w:firstLine="200"/>
      <w:jc w:val="left"/>
    </w:pPr>
    <w:rPr>
      <w:rFonts w:ascii="Calibri" w:eastAsia="宋体" w:hAnsi="Calibri" w:cs="Times New Roman"/>
      <w:kern w:val="0"/>
      <w:sz w:val="18"/>
      <w:szCs w:val="18"/>
    </w:rPr>
  </w:style>
  <w:style w:type="character" w:customStyle="1" w:styleId="Char18">
    <w:name w:val="脚注文本 Char1"/>
    <w:basedOn w:val="a0"/>
    <w:uiPriority w:val="99"/>
    <w:semiHidden/>
    <w:rsid w:val="003656F0"/>
    <w:rPr>
      <w:rFonts w:asciiTheme="minorHAnsi" w:eastAsiaTheme="minorEastAsia" w:hAnsiTheme="minorHAnsi" w:cstheme="minorBidi"/>
      <w:kern w:val="2"/>
      <w:sz w:val="18"/>
      <w:szCs w:val="18"/>
    </w:rPr>
  </w:style>
  <w:style w:type="paragraph" w:styleId="af1">
    <w:name w:val="List Paragraph"/>
    <w:basedOn w:val="a"/>
    <w:uiPriority w:val="99"/>
    <w:qFormat/>
    <w:rsid w:val="003656F0"/>
    <w:pPr>
      <w:spacing w:beforeLines="50" w:before="156" w:afterLines="50" w:after="156" w:line="340" w:lineRule="exact"/>
      <w:ind w:firstLineChars="200" w:firstLine="420"/>
    </w:pPr>
    <w:rPr>
      <w:rFonts w:ascii="Calibri" w:eastAsia="宋体" w:hAnsi="Calibri" w:cs="Times New Roman"/>
      <w:sz w:val="24"/>
      <w:szCs w:val="22"/>
    </w:rPr>
  </w:style>
  <w:style w:type="character" w:styleId="af2">
    <w:name w:val="footnote reference"/>
    <w:uiPriority w:val="99"/>
    <w:semiHidden/>
    <w:unhideWhenUsed/>
    <w:rsid w:val="003656F0"/>
    <w:rPr>
      <w:vertAlign w:val="superscript"/>
    </w:rPr>
  </w:style>
  <w:style w:type="table" w:styleId="af3">
    <w:name w:val="Table Grid"/>
    <w:basedOn w:val="a1"/>
    <w:uiPriority w:val="59"/>
    <w:rsid w:val="00365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3656F0"/>
    <w:rPr>
      <w:rFonts w:ascii="Calibri" w:hAnsi="Calibri"/>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656F0"/>
    <w:pPr>
      <w:keepNext/>
      <w:keepLines/>
      <w:tabs>
        <w:tab w:val="left" w:pos="480"/>
      </w:tabs>
      <w:spacing w:beforeLines="100" w:before="312" w:afterLines="50" w:after="156" w:line="360" w:lineRule="auto"/>
      <w:ind w:firstLineChars="200" w:firstLine="200"/>
      <w:jc w:val="left"/>
      <w:outlineLvl w:val="0"/>
    </w:pPr>
    <w:rPr>
      <w:rFonts w:ascii="Calibri" w:eastAsia="黑体" w:hAnsi="Calibri" w:cs="Times New Roman"/>
      <w:b/>
      <w:bCs/>
      <w:kern w:val="44"/>
      <w:sz w:val="30"/>
      <w:szCs w:val="44"/>
      <w:lang w:val="x-none" w:eastAsia="x-none"/>
    </w:rPr>
  </w:style>
  <w:style w:type="paragraph" w:styleId="2">
    <w:name w:val="heading 2"/>
    <w:basedOn w:val="a"/>
    <w:next w:val="a"/>
    <w:link w:val="2Char"/>
    <w:uiPriority w:val="9"/>
    <w:qFormat/>
    <w:rsid w:val="003656F0"/>
    <w:pPr>
      <w:keepNext/>
      <w:keepLines/>
      <w:spacing w:beforeLines="50" w:before="156" w:afterLines="50" w:after="156" w:line="400" w:lineRule="atLeast"/>
      <w:ind w:firstLineChars="200" w:firstLine="200"/>
      <w:outlineLvl w:val="1"/>
    </w:pPr>
    <w:rPr>
      <w:rFonts w:ascii="Arial" w:eastAsia="宋体" w:hAnsi="Arial" w:cs="Times New Roman"/>
      <w:b/>
      <w:bCs/>
      <w:kern w:val="0"/>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82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787A"/>
    <w:rPr>
      <w:rFonts w:asciiTheme="minorHAnsi" w:eastAsiaTheme="minorEastAsia" w:hAnsiTheme="minorHAnsi" w:cstheme="minorBidi"/>
      <w:kern w:val="2"/>
      <w:sz w:val="18"/>
      <w:szCs w:val="18"/>
    </w:rPr>
  </w:style>
  <w:style w:type="paragraph" w:styleId="a6">
    <w:name w:val="footer"/>
    <w:basedOn w:val="a"/>
    <w:link w:val="Char0"/>
    <w:uiPriority w:val="99"/>
    <w:rsid w:val="0082787A"/>
    <w:pPr>
      <w:tabs>
        <w:tab w:val="center" w:pos="4153"/>
        <w:tab w:val="right" w:pos="8306"/>
      </w:tabs>
      <w:snapToGrid w:val="0"/>
      <w:jc w:val="left"/>
    </w:pPr>
    <w:rPr>
      <w:sz w:val="18"/>
      <w:szCs w:val="18"/>
    </w:rPr>
  </w:style>
  <w:style w:type="character" w:customStyle="1" w:styleId="Char0">
    <w:name w:val="页脚 Char"/>
    <w:basedOn w:val="a0"/>
    <w:link w:val="a6"/>
    <w:uiPriority w:val="99"/>
    <w:rsid w:val="0082787A"/>
    <w:rPr>
      <w:rFonts w:asciiTheme="minorHAnsi" w:eastAsiaTheme="minorEastAsia" w:hAnsiTheme="minorHAnsi" w:cstheme="minorBidi"/>
      <w:kern w:val="2"/>
      <w:sz w:val="18"/>
      <w:szCs w:val="18"/>
    </w:rPr>
  </w:style>
  <w:style w:type="paragraph" w:styleId="a7">
    <w:name w:val="Balloon Text"/>
    <w:basedOn w:val="a"/>
    <w:link w:val="Char1"/>
    <w:uiPriority w:val="99"/>
    <w:rsid w:val="004D7B69"/>
    <w:rPr>
      <w:sz w:val="18"/>
      <w:szCs w:val="18"/>
    </w:rPr>
  </w:style>
  <w:style w:type="character" w:customStyle="1" w:styleId="Char1">
    <w:name w:val="批注框文本 Char"/>
    <w:basedOn w:val="a0"/>
    <w:link w:val="a7"/>
    <w:uiPriority w:val="99"/>
    <w:rsid w:val="004D7B69"/>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3656F0"/>
    <w:rPr>
      <w:rFonts w:ascii="Calibri" w:eastAsia="黑体" w:hAnsi="Calibri"/>
      <w:b/>
      <w:bCs/>
      <w:kern w:val="44"/>
      <w:sz w:val="30"/>
      <w:szCs w:val="44"/>
      <w:lang w:val="x-none" w:eastAsia="x-none"/>
    </w:rPr>
  </w:style>
  <w:style w:type="character" w:customStyle="1" w:styleId="2Char">
    <w:name w:val="标题 2 Char"/>
    <w:basedOn w:val="a0"/>
    <w:link w:val="2"/>
    <w:uiPriority w:val="9"/>
    <w:rsid w:val="003656F0"/>
    <w:rPr>
      <w:rFonts w:ascii="Arial" w:hAnsi="Arial"/>
      <w:b/>
      <w:bCs/>
      <w:sz w:val="24"/>
      <w:szCs w:val="32"/>
      <w:lang w:val="x-none" w:eastAsia="x-none"/>
    </w:rPr>
  </w:style>
  <w:style w:type="character" w:styleId="a8">
    <w:name w:val="annotation reference"/>
    <w:rsid w:val="003656F0"/>
    <w:rPr>
      <w:sz w:val="21"/>
      <w:szCs w:val="21"/>
    </w:rPr>
  </w:style>
  <w:style w:type="character" w:styleId="a9">
    <w:name w:val="endnote reference"/>
    <w:rsid w:val="003656F0"/>
    <w:rPr>
      <w:vertAlign w:val="superscript"/>
    </w:rPr>
  </w:style>
  <w:style w:type="character" w:styleId="aa">
    <w:name w:val="page number"/>
    <w:basedOn w:val="a0"/>
    <w:rsid w:val="003656F0"/>
  </w:style>
  <w:style w:type="character" w:customStyle="1" w:styleId="Char2">
    <w:name w:val="标题 Char"/>
    <w:link w:val="ab"/>
    <w:rsid w:val="003656F0"/>
    <w:rPr>
      <w:rFonts w:ascii="Cambria" w:hAnsi="Cambria"/>
      <w:b/>
      <w:bCs/>
      <w:sz w:val="32"/>
      <w:szCs w:val="32"/>
    </w:rPr>
  </w:style>
  <w:style w:type="character" w:customStyle="1" w:styleId="Char3">
    <w:name w:val="脚注文本 Char"/>
    <w:link w:val="ac"/>
    <w:rsid w:val="003656F0"/>
    <w:rPr>
      <w:rFonts w:ascii="Calibri" w:hAnsi="Calibri"/>
      <w:sz w:val="18"/>
      <w:szCs w:val="18"/>
    </w:rPr>
  </w:style>
  <w:style w:type="character" w:customStyle="1" w:styleId="Char4">
    <w:name w:val="尾注文本 Char"/>
    <w:link w:val="ad"/>
    <w:rsid w:val="003656F0"/>
    <w:rPr>
      <w:rFonts w:ascii="Calibri" w:hAnsi="Calibri"/>
    </w:rPr>
  </w:style>
  <w:style w:type="character" w:customStyle="1" w:styleId="Char5">
    <w:name w:val="批注文字 Char"/>
    <w:link w:val="ae"/>
    <w:rsid w:val="003656F0"/>
    <w:rPr>
      <w:rFonts w:ascii="Calibri" w:hAnsi="Calibri"/>
    </w:rPr>
  </w:style>
  <w:style w:type="character" w:customStyle="1" w:styleId="Char6">
    <w:name w:val="批注主题 Char"/>
    <w:link w:val="af"/>
    <w:rsid w:val="003656F0"/>
    <w:rPr>
      <w:rFonts w:ascii="Calibri" w:hAnsi="Calibri"/>
      <w:b/>
      <w:bCs/>
    </w:rPr>
  </w:style>
  <w:style w:type="character" w:customStyle="1" w:styleId="Char7">
    <w:name w:val="文档结构图 Char"/>
    <w:link w:val="af0"/>
    <w:uiPriority w:val="99"/>
    <w:rsid w:val="003656F0"/>
    <w:rPr>
      <w:rFonts w:ascii="宋体" w:hAnsi="Calibri"/>
      <w:sz w:val="18"/>
      <w:szCs w:val="18"/>
    </w:rPr>
  </w:style>
  <w:style w:type="character" w:customStyle="1" w:styleId="Char10">
    <w:name w:val="页眉 Char1"/>
    <w:uiPriority w:val="99"/>
    <w:semiHidden/>
    <w:rsid w:val="003656F0"/>
    <w:rPr>
      <w:rFonts w:ascii="Calibri" w:eastAsia="宋体" w:hAnsi="Calibri" w:cs="Times New Roman"/>
      <w:sz w:val="18"/>
      <w:szCs w:val="18"/>
    </w:rPr>
  </w:style>
  <w:style w:type="paragraph" w:styleId="af0">
    <w:name w:val="Document Map"/>
    <w:basedOn w:val="a"/>
    <w:link w:val="Char7"/>
    <w:uiPriority w:val="99"/>
    <w:rsid w:val="003656F0"/>
    <w:pPr>
      <w:spacing w:beforeLines="50" w:before="156" w:afterLines="50" w:after="156" w:line="340" w:lineRule="exact"/>
      <w:ind w:firstLineChars="200" w:firstLine="200"/>
    </w:pPr>
    <w:rPr>
      <w:rFonts w:ascii="宋体" w:eastAsia="宋体" w:hAnsi="Calibri" w:cs="Times New Roman"/>
      <w:kern w:val="0"/>
      <w:sz w:val="18"/>
      <w:szCs w:val="18"/>
    </w:rPr>
  </w:style>
  <w:style w:type="character" w:customStyle="1" w:styleId="Char11">
    <w:name w:val="文档结构图 Char1"/>
    <w:basedOn w:val="a0"/>
    <w:uiPriority w:val="99"/>
    <w:semiHidden/>
    <w:rsid w:val="003656F0"/>
    <w:rPr>
      <w:rFonts w:ascii="宋体" w:hAnsiTheme="minorHAnsi" w:cstheme="minorBidi"/>
      <w:kern w:val="2"/>
      <w:sz w:val="18"/>
      <w:szCs w:val="18"/>
    </w:rPr>
  </w:style>
  <w:style w:type="paragraph" w:styleId="ab">
    <w:name w:val="Title"/>
    <w:basedOn w:val="a"/>
    <w:next w:val="a"/>
    <w:link w:val="Char2"/>
    <w:qFormat/>
    <w:rsid w:val="003656F0"/>
    <w:pPr>
      <w:spacing w:before="240" w:after="60" w:line="340" w:lineRule="exact"/>
      <w:ind w:firstLineChars="200" w:firstLine="200"/>
      <w:jc w:val="center"/>
      <w:outlineLvl w:val="0"/>
    </w:pPr>
    <w:rPr>
      <w:rFonts w:ascii="Cambria" w:eastAsia="宋体" w:hAnsi="Cambria" w:cs="Times New Roman"/>
      <w:b/>
      <w:bCs/>
      <w:kern w:val="0"/>
      <w:sz w:val="32"/>
      <w:szCs w:val="32"/>
    </w:rPr>
  </w:style>
  <w:style w:type="character" w:customStyle="1" w:styleId="Char12">
    <w:name w:val="标题 Char1"/>
    <w:basedOn w:val="a0"/>
    <w:uiPriority w:val="10"/>
    <w:rsid w:val="003656F0"/>
    <w:rPr>
      <w:rFonts w:asciiTheme="majorHAnsi" w:hAnsiTheme="majorHAnsi" w:cstheme="majorBidi"/>
      <w:b/>
      <w:bCs/>
      <w:kern w:val="2"/>
      <w:sz w:val="32"/>
      <w:szCs w:val="32"/>
    </w:rPr>
  </w:style>
  <w:style w:type="paragraph" w:styleId="ae">
    <w:name w:val="annotation text"/>
    <w:basedOn w:val="a"/>
    <w:link w:val="Char5"/>
    <w:rsid w:val="003656F0"/>
    <w:pPr>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3">
    <w:name w:val="批注文字 Char1"/>
    <w:basedOn w:val="a0"/>
    <w:uiPriority w:val="99"/>
    <w:semiHidden/>
    <w:rsid w:val="003656F0"/>
    <w:rPr>
      <w:rFonts w:asciiTheme="minorHAnsi" w:eastAsiaTheme="minorEastAsia" w:hAnsiTheme="minorHAnsi" w:cstheme="minorBidi"/>
      <w:kern w:val="2"/>
      <w:sz w:val="21"/>
      <w:szCs w:val="24"/>
    </w:rPr>
  </w:style>
  <w:style w:type="paragraph" w:styleId="ad">
    <w:name w:val="endnote text"/>
    <w:basedOn w:val="a"/>
    <w:link w:val="Char4"/>
    <w:rsid w:val="003656F0"/>
    <w:pPr>
      <w:snapToGrid w:val="0"/>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4">
    <w:name w:val="尾注文本 Char1"/>
    <w:basedOn w:val="a0"/>
    <w:uiPriority w:val="99"/>
    <w:semiHidden/>
    <w:rsid w:val="003656F0"/>
    <w:rPr>
      <w:rFonts w:asciiTheme="minorHAnsi" w:eastAsiaTheme="minorEastAsia" w:hAnsiTheme="minorHAnsi" w:cstheme="minorBidi"/>
      <w:kern w:val="2"/>
      <w:sz w:val="21"/>
      <w:szCs w:val="24"/>
    </w:rPr>
  </w:style>
  <w:style w:type="paragraph" w:styleId="af">
    <w:name w:val="annotation subject"/>
    <w:basedOn w:val="ae"/>
    <w:next w:val="ae"/>
    <w:link w:val="Char6"/>
    <w:rsid w:val="003656F0"/>
    <w:rPr>
      <w:b/>
      <w:bCs/>
    </w:rPr>
  </w:style>
  <w:style w:type="character" w:customStyle="1" w:styleId="Char15">
    <w:name w:val="批注主题 Char1"/>
    <w:basedOn w:val="Char13"/>
    <w:uiPriority w:val="99"/>
    <w:semiHidden/>
    <w:rsid w:val="003656F0"/>
    <w:rPr>
      <w:rFonts w:asciiTheme="minorHAnsi" w:eastAsiaTheme="minorEastAsia" w:hAnsiTheme="minorHAnsi" w:cstheme="minorBidi"/>
      <w:b/>
      <w:bCs/>
      <w:kern w:val="2"/>
      <w:sz w:val="21"/>
      <w:szCs w:val="24"/>
    </w:rPr>
  </w:style>
  <w:style w:type="character" w:customStyle="1" w:styleId="Char16">
    <w:name w:val="页脚 Char1"/>
    <w:uiPriority w:val="99"/>
    <w:semiHidden/>
    <w:rsid w:val="003656F0"/>
    <w:rPr>
      <w:rFonts w:ascii="Calibri" w:eastAsia="宋体" w:hAnsi="Calibri" w:cs="Times New Roman"/>
      <w:sz w:val="18"/>
      <w:szCs w:val="18"/>
    </w:rPr>
  </w:style>
  <w:style w:type="character" w:customStyle="1" w:styleId="Char17">
    <w:name w:val="批注框文本 Char1"/>
    <w:uiPriority w:val="99"/>
    <w:semiHidden/>
    <w:rsid w:val="003656F0"/>
    <w:rPr>
      <w:rFonts w:ascii="Calibri" w:eastAsia="宋体" w:hAnsi="Calibri" w:cs="Times New Roman"/>
      <w:sz w:val="18"/>
      <w:szCs w:val="18"/>
    </w:rPr>
  </w:style>
  <w:style w:type="paragraph" w:styleId="ac">
    <w:name w:val="footnote text"/>
    <w:basedOn w:val="a"/>
    <w:link w:val="Char3"/>
    <w:rsid w:val="003656F0"/>
    <w:pPr>
      <w:snapToGrid w:val="0"/>
      <w:spacing w:beforeLines="50" w:before="156" w:afterLines="50" w:after="156" w:line="340" w:lineRule="exact"/>
      <w:ind w:firstLineChars="200" w:firstLine="200"/>
      <w:jc w:val="left"/>
    </w:pPr>
    <w:rPr>
      <w:rFonts w:ascii="Calibri" w:eastAsia="宋体" w:hAnsi="Calibri" w:cs="Times New Roman"/>
      <w:kern w:val="0"/>
      <w:sz w:val="18"/>
      <w:szCs w:val="18"/>
    </w:rPr>
  </w:style>
  <w:style w:type="character" w:customStyle="1" w:styleId="Char18">
    <w:name w:val="脚注文本 Char1"/>
    <w:basedOn w:val="a0"/>
    <w:uiPriority w:val="99"/>
    <w:semiHidden/>
    <w:rsid w:val="003656F0"/>
    <w:rPr>
      <w:rFonts w:asciiTheme="minorHAnsi" w:eastAsiaTheme="minorEastAsia" w:hAnsiTheme="minorHAnsi" w:cstheme="minorBidi"/>
      <w:kern w:val="2"/>
      <w:sz w:val="18"/>
      <w:szCs w:val="18"/>
    </w:rPr>
  </w:style>
  <w:style w:type="paragraph" w:styleId="af1">
    <w:name w:val="List Paragraph"/>
    <w:basedOn w:val="a"/>
    <w:uiPriority w:val="99"/>
    <w:qFormat/>
    <w:rsid w:val="003656F0"/>
    <w:pPr>
      <w:spacing w:beforeLines="50" w:before="156" w:afterLines="50" w:after="156" w:line="340" w:lineRule="exact"/>
      <w:ind w:firstLineChars="200" w:firstLine="420"/>
    </w:pPr>
    <w:rPr>
      <w:rFonts w:ascii="Calibri" w:eastAsia="宋体" w:hAnsi="Calibri" w:cs="Times New Roman"/>
      <w:sz w:val="24"/>
      <w:szCs w:val="22"/>
    </w:rPr>
  </w:style>
  <w:style w:type="character" w:styleId="af2">
    <w:name w:val="footnote reference"/>
    <w:uiPriority w:val="99"/>
    <w:semiHidden/>
    <w:unhideWhenUsed/>
    <w:rsid w:val="003656F0"/>
    <w:rPr>
      <w:vertAlign w:val="superscript"/>
    </w:rPr>
  </w:style>
  <w:style w:type="table" w:styleId="af3">
    <w:name w:val="Table Grid"/>
    <w:basedOn w:val="a1"/>
    <w:uiPriority w:val="59"/>
    <w:rsid w:val="00365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3656F0"/>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90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4D457F-327A-4A05-9FD8-3D94E203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1693</Characters>
  <Application>Microsoft Office Word</Application>
  <DocSecurity>0</DocSecurity>
  <Lines>14</Lines>
  <Paragraphs>3</Paragraphs>
  <ScaleCrop>false</ScaleCrop>
  <Company>Microsoft</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yujing</dc:creator>
  <cp:lastModifiedBy>Administrator</cp:lastModifiedBy>
  <cp:revision>3</cp:revision>
  <cp:lastPrinted>2018-08-13T01:53:00Z</cp:lastPrinted>
  <dcterms:created xsi:type="dcterms:W3CDTF">2018-08-14T12:22:00Z</dcterms:created>
  <dcterms:modified xsi:type="dcterms:W3CDTF">2018-08-16T06:43:00Z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