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DB" w:rsidRDefault="005C778F" w:rsidP="004D446B">
      <w:pPr>
        <w:spacing w:line="520" w:lineRule="exact"/>
        <w:jc w:val="center"/>
        <w:rPr>
          <w:rFonts w:ascii="微软雅黑" w:eastAsia="微软雅黑" w:hAnsi="微软雅黑" w:cs="微软雅黑"/>
          <w:b/>
          <w:sz w:val="24"/>
          <w:szCs w:val="24"/>
        </w:rPr>
      </w:pPr>
      <w:bookmarkStart w:id="0" w:name="_GoBack"/>
      <w:bookmarkEnd w:id="0"/>
      <w:r>
        <w:rPr>
          <w:rFonts w:ascii="微软雅黑" w:eastAsia="微软雅黑" w:hAnsi="微软雅黑" w:cs="微软雅黑" w:hint="eastAsia"/>
          <w:b/>
          <w:sz w:val="24"/>
          <w:szCs w:val="24"/>
        </w:rPr>
        <w:t>土地整备利益统筹试点项目管理办法（试行）</w:t>
      </w:r>
    </w:p>
    <w:p w:rsidR="006808DB" w:rsidRDefault="005C778F" w:rsidP="004D446B">
      <w:pPr>
        <w:widowControl/>
        <w:spacing w:line="520" w:lineRule="exact"/>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（征求意见稿）</w:t>
      </w:r>
    </w:p>
    <w:p w:rsidR="006808DB" w:rsidRDefault="005C778F" w:rsidP="004D446B">
      <w:pPr>
        <w:spacing w:line="520" w:lineRule="exact"/>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t>第一章 总  则</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第一条 【目的和宗旨】</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为了加快推进土地整备工作，保障城市基础设施、公共服务设施和重大产业项目土地供应，推动土地集约节约利用，促进城市发展和社区转型，根据相关法律法规、《深圳市土地管理制度改革总体方案》和我市土地整备管理规定，结合实际，制定本办法。</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第二条 【适用范围】</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本办法适用于经市政府批准的位于原特区外的土地整备利益统筹试点项目（以下简称“试点项目”）。试点项目以外的其他土地整备项目按照现行规定执行。</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试点项目分为整村统筹整备项目和片区统筹整备项目两类。</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第三条 【计划管理】</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区政府（含新区管理机构，下同）根据规划建设要求、本办法及原农村集体经济组织继受单位发展意愿，提出试点项目名单，经市规划国土主管部门（以下简称市主管部门）审核后，报市政府批准。</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试点项目应当列入年度全市土地整备计划，保障资金安排。</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第四条 【利益统筹】</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试点项目应当加强规划、土地、资金的政策统筹，通过拨付土地整备资金、留用土地、收益分成、物业返还等方式，实现政府、原农村集体经济组织继受单位及相关权益人等多方利益统筹。</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第五条 【土地整备资金】</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试点项目土地整备资金按照以下方式核算：项目范围内原农村集体经济组织继受单位及其成员实际使用但需要拆除的建筑物和构筑物按照重置价核算；青苗和附着物等按照相关标准确定。</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第六条 【留用土地】</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本办法所称留用土地，是指通过腾挪原农村集体经济组织继受单位合法用地（包括已取得房地产证、土地使用权出让合同、城市化非农建设用地批复、征地返还用地批复、农村城市化历史遗留违法建筑确认决定书的用地）、落实非农建设用地和征地返还用地指标、核定未完善征（转）地补偿手续规划建设用地的留用土地，实现利益统筹的土地整备方式。</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留用土地地价根据留用土地所在区位、规划功能和开发规模，结合试点项目的建设用地贡献率，按照分类</w:t>
      </w:r>
      <w:r>
        <w:rPr>
          <w:rFonts w:ascii="微软雅黑" w:eastAsia="微软雅黑" w:hAnsi="微软雅黑" w:cs="微软雅黑" w:hint="eastAsia"/>
          <w:sz w:val="20"/>
          <w:szCs w:val="20"/>
        </w:rPr>
        <w:lastRenderedPageBreak/>
        <w:t>分段方式计收。</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第七条 【土地整备单元规划】</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试点项目留用土地安排涉及未制定法定图则的地区，或者需要对法定图则强制性内容进行调整的，应当编制土地整备单元规划。</w:t>
      </w:r>
    </w:p>
    <w:p w:rsidR="006808DB" w:rsidRPr="00AF7CCE" w:rsidRDefault="005C778F" w:rsidP="00AF7CCE">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土地整备单元规划是法定图则在土地整备中的具体表现形式，是试点项目的法定规划。</w:t>
      </w:r>
    </w:p>
    <w:p w:rsidR="006808DB" w:rsidRDefault="005C778F" w:rsidP="004D446B">
      <w:pPr>
        <w:spacing w:line="520" w:lineRule="exact"/>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t>第二章  土地整备单元规划</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第八条 【制定程序】</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土地整备单元规划由市主管部门会同区政府组织编制，并按照法定图则制定程序报批。</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第九条 【编制原则】</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编制土地整备单元规划应当坚持公共利益优先、多方协商和绿色低碳的原则，优先保障城市基础设施、公共服务设施及产业发展空间，推进各方利益平衡，引导留用土地优先开展综合整治。</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第十条 【编制内容】</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土地整备单元规划应当包括整备总体控制范围和留用土地范围，并确定政府储备地和原农村集体经济组织继受单位留用土地的规模和位置，明确城市基础设施、公共服务设施及留用土地的规划控制要求。</w:t>
      </w:r>
    </w:p>
    <w:p w:rsidR="006808DB" w:rsidRDefault="005C778F" w:rsidP="00AF7CCE">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土地整备单元规划编制技术指引由市主管部门另行制定。</w:t>
      </w:r>
    </w:p>
    <w:p w:rsidR="006808DB" w:rsidRDefault="005C778F" w:rsidP="004D446B">
      <w:pPr>
        <w:spacing w:line="520" w:lineRule="exact"/>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t>第三章 整村统筹整备项目</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 xml:space="preserve">第十一条【对象】  </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本办法所称整村统筹整备项目，是指以原农村集体经济组织继受单位及其成员实际使用、空间集中成片的区域为实施对象的土地整备项目。整村统筹整备从原农村社区整体出发，综合考虑项目范围内的合法用地和未完善征（转）地补偿手续用地，通过规划统筹和政策统筹实现原农村社区范围内的利益平衡。</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整村统筹整备项目应当同时符合以下条件：</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（一）项目位于同一社区范围内；</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（二）项目范围内未完善征（转）地补偿手续的规划建设用地面积不小于50000平方米。</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第十二条 【留用土地与政府储备地规模】</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整村统筹整备项目通过留用土地方式实施土地整备的，留用土地规模按照以下方式核算：</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（一）需腾挪的原农村集体经济组织继受单位合法用地按照等土地面积在试点项目范围内留用，跨社区留用的按照等价值原则置换确定；</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（二）需在试点项目范围内落实的非农建设用地和征地返还用地指标按照相关规定确定留用土地；</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（三）未完善征（转）地补偿手续的规划建设用地按照不超过20%的比例确定留用土地。</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留用土地优先在试点项目范围内的建成区安排，且总规模不得超过试点项目范围内规划建设用地面积的40%。</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整村统筹整备项目范围内，除留用土地及未腾挪的合法用地外，其余土地纳入政府储备。</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第十三条【留用土地出让】</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整村统筹整备项目留用土地按照经批准的土地整备单元规划实施。留用土地范围内应当按照《深圳市城市规划标准与准则》配建社区级公共设施。</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原农村集体经济组织继受单位应当与市主管部门签订留用土地的土地使用权出让合同，土地使用权年</w:t>
      </w:r>
      <w:proofErr w:type="gramStart"/>
      <w:r>
        <w:rPr>
          <w:rFonts w:ascii="微软雅黑" w:eastAsia="微软雅黑" w:hAnsi="微软雅黑" w:cs="微软雅黑" w:hint="eastAsia"/>
          <w:sz w:val="20"/>
          <w:szCs w:val="20"/>
        </w:rPr>
        <w:t>期按照</w:t>
      </w:r>
      <w:proofErr w:type="gramEnd"/>
      <w:r>
        <w:rPr>
          <w:rFonts w:ascii="微软雅黑" w:eastAsia="微软雅黑" w:hAnsi="微软雅黑" w:cs="微软雅黑" w:hint="eastAsia"/>
          <w:sz w:val="20"/>
          <w:szCs w:val="20"/>
        </w:rPr>
        <w:t>法律规定土地用途的最高年期确定。留用土地由原农村集体经济组织继受单位自用的，免缴地价，用地为非商品性质；按照本办法所附《留用土地地价计收规则》缴交地价的，用地为商品性质。</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留用土地以转让、合作开发、作价入股等方式进入市场交易的，原农村集体经济组织继受单位应当按照市政府相关规定选取开发主体，并由区集体资产管理部门进行资格确认。原农村集体经济组织继受单位及开发主体应当向市主管部门申请土地使用权出让合同变更，签订土地使用权出让合同补充协议。</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第十四条【鼓励措施】</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鼓励原农村集体经济组织继受单位将管辖范围内未完善征（转）地补偿手续用地全部纳入试点项目，一揽子解决土地历史遗留问题。</w:t>
      </w:r>
    </w:p>
    <w:p w:rsidR="006808DB" w:rsidRDefault="005C778F" w:rsidP="00AF7CCE">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经区政府认定符合上述情形的，留用土地不受试点项目范围内规划建设用地面积40%的规模限制，留用土地地价全部按照需腾挪合法用地的地价标准计收。</w:t>
      </w:r>
    </w:p>
    <w:p w:rsidR="006808DB" w:rsidRDefault="005C778F" w:rsidP="004D446B">
      <w:pPr>
        <w:spacing w:line="520" w:lineRule="exact"/>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t>第四章 片区统筹整备项目</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第十五条 【对象】</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本办法所称片区统筹整备项目，是指以原农村集体经济组织继受单位及其成员实际使用、未完善征（转）地补偿手续的地块为实施对象的土地整备项目。</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片区统筹整备项目应同时符合以下条件：</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（一）由两个以上地块组成，且单个地块面积不小于3000平方米；</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（二）项目范围内规划城市基础设施和公共服务设施用地不低于规划建设用地面积的50%。</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第十六条 【留用土地与政府储备地规模】</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片区统筹整备项目通过留用土地方式实施土地整备的，留用土地规模按照以下方式核算：</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（一）留用土地规划为居住用地、商业服务业用地的，按照不超过试点项目范围内规划建设用地面积的15%确定留用土地；</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（二）留用土地规划为工业用地的，按照不超过试点项目范围内规划建设用地面积的30%确定留用土地；</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（三）留用土地规划包含居住、商业服务业和工业等多种用途的，按照上述比例换算后确定留用土地。</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留用土地原则上安排在试点项目范围内，且空间相对集中成片。</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除上述留用土地外，其余土地纳入政府储备。</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第十七条【留用土地出让】</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片区统筹整备项目留用土地的规划管理、土地出让、土地年期、土地性质及市场交易等按照本办法第十三条规定执行。</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第十八条【收益分成】</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片区统筹整备项目通过收益分成方式实施土地整备的，项目范围内规划城市基础设施和公共服务设施用地应当纳入政府储备，规划经营性用地由市政府组织公开出让，并按照以下规则分配收益：</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（一）规划功能为工业用地的，容积率2.0以内的部分，所得收益80%归原农村集体经济组织继受单位，20%纳入市国土基金；超出容积率2.0的部分，所得收益30%归原农村集体经济组织继受单位，70%纳入市国土基金；</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二）规划功能为居住用地、商业服务业用地的，容积率3.2以内的部分，所得收益30%归原农村集体经济组织继受单位，70%纳入市国土基金；超出容积率3.2的部分，所得收益10%归原农村集体经济组织继受单位，90%纳入市国土基金。</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第十九条 【物业返还】</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片区统筹整备项目通过物业返还方式实施土地整备的，项目范围内规划城市基础设施和公共服务设施用地应当纳入政府储备，规划经营性用地由市政府组织公开出让，按照以下规则确定返还原农村集体经济组织继受单位的物业规模并在出让文件中明确：</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（一）规划功能为工业用地的，以出让用地容积率2.0核定建筑面积，按照该建筑面积的30%确定返还物业规模；</w:t>
      </w:r>
    </w:p>
    <w:p w:rsidR="006808DB" w:rsidRDefault="005C778F" w:rsidP="00AF7CCE">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（二）规划功能为居住用地、商业服务业用地的，以出让用地容积率3.2核定建筑面积，按照该建筑面积的15%确定返还物业规模。</w:t>
      </w:r>
    </w:p>
    <w:p w:rsidR="006808DB" w:rsidRDefault="005C778F" w:rsidP="004D446B">
      <w:pPr>
        <w:spacing w:line="520" w:lineRule="exact"/>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lastRenderedPageBreak/>
        <w:t>第五章 附  则</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第二十条 【政府职责】</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区政府负责制定试点项目的土地整备项目实施方案。土地整备项目实施方案由市主管部门按照现行规定审查后，报市政府审批。</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第二十一条 【原农村集体经济组织继受单位职责】</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原农村集体经济组织继受单位应当按照规划实施要求理顺项目范围内的土地经济利益关系，并具体负责建筑物、构筑物及青苗、附着物的赔偿、拆除和清理。</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第二十二条 【管理流程】</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原农村集体经济组织继受单位应当与区政府、市主管部门依据经批准的土地整备项目实施方案和土地整备单元规划签订试点项目的框架协议书，明确土地整备资金、留用土地规模及规划控制要求、政府储备土地规模等。属于政府储备土地的，原农村集体经济组织继受单位应当与区政府、市主管部门签订土地整备协议书，办理土地入库手续。</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市主管部门根据原农村集体经济组织继受单位移交储备土地的规模，分期拨付土地整备资金、分批办理留用土地出让手续。</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第二十三条 【退出机制】</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市主管部门应当定期对试点项目进行清理，对于纳入试点之日起一年内没有上报土地整备实施方案的，不再作为试点项目。</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第二十四条 【施行】</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本办法自发布之日起施行，试行期两年。</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p>
    <w:p w:rsidR="006808DB" w:rsidRDefault="006808DB">
      <w:pPr>
        <w:spacing w:line="520" w:lineRule="exact"/>
        <w:ind w:firstLineChars="200" w:firstLine="400"/>
        <w:rPr>
          <w:rFonts w:ascii="微软雅黑" w:eastAsia="微软雅黑" w:hAnsi="微软雅黑" w:cs="微软雅黑"/>
          <w:sz w:val="20"/>
          <w:szCs w:val="20"/>
        </w:rPr>
      </w:pPr>
    </w:p>
    <w:p w:rsidR="006808DB" w:rsidRDefault="006808DB">
      <w:pPr>
        <w:spacing w:line="520" w:lineRule="exact"/>
        <w:ind w:firstLineChars="200" w:firstLine="400"/>
        <w:rPr>
          <w:rFonts w:ascii="微软雅黑" w:eastAsia="微软雅黑" w:hAnsi="微软雅黑" w:cs="微软雅黑"/>
          <w:sz w:val="20"/>
          <w:szCs w:val="20"/>
        </w:rPr>
      </w:pPr>
    </w:p>
    <w:p w:rsidR="006808DB" w:rsidRDefault="006808DB">
      <w:pPr>
        <w:spacing w:line="520" w:lineRule="exact"/>
        <w:ind w:firstLineChars="200" w:firstLine="400"/>
        <w:rPr>
          <w:rFonts w:ascii="微软雅黑" w:eastAsia="微软雅黑" w:hAnsi="微软雅黑" w:cs="微软雅黑"/>
          <w:sz w:val="20"/>
          <w:szCs w:val="20"/>
        </w:rPr>
      </w:pPr>
    </w:p>
    <w:p w:rsidR="006808DB" w:rsidRDefault="006808DB">
      <w:pPr>
        <w:spacing w:line="520" w:lineRule="exact"/>
        <w:ind w:firstLineChars="200" w:firstLine="400"/>
        <w:rPr>
          <w:rFonts w:ascii="微软雅黑" w:eastAsia="微软雅黑" w:hAnsi="微软雅黑" w:cs="微软雅黑"/>
          <w:sz w:val="20"/>
          <w:szCs w:val="20"/>
        </w:rPr>
      </w:pPr>
    </w:p>
    <w:p w:rsidR="006808DB" w:rsidRDefault="006808DB">
      <w:pPr>
        <w:spacing w:line="520" w:lineRule="exact"/>
        <w:ind w:firstLineChars="200" w:firstLine="400"/>
        <w:rPr>
          <w:rFonts w:ascii="微软雅黑" w:eastAsia="微软雅黑" w:hAnsi="微软雅黑" w:cs="微软雅黑"/>
          <w:sz w:val="20"/>
          <w:szCs w:val="20"/>
        </w:rPr>
      </w:pPr>
    </w:p>
    <w:p w:rsidR="006808DB" w:rsidRDefault="006808DB">
      <w:pPr>
        <w:spacing w:line="520" w:lineRule="exact"/>
        <w:ind w:firstLineChars="200" w:firstLine="400"/>
        <w:rPr>
          <w:rFonts w:ascii="微软雅黑" w:eastAsia="微软雅黑" w:hAnsi="微软雅黑" w:cs="微软雅黑"/>
          <w:sz w:val="20"/>
          <w:szCs w:val="20"/>
        </w:rPr>
      </w:pPr>
    </w:p>
    <w:p w:rsidR="006808DB" w:rsidRDefault="006808DB">
      <w:pPr>
        <w:spacing w:line="520" w:lineRule="exact"/>
        <w:ind w:firstLineChars="200" w:firstLine="400"/>
        <w:rPr>
          <w:rFonts w:ascii="微软雅黑" w:eastAsia="微软雅黑" w:hAnsi="微软雅黑" w:cs="微软雅黑"/>
          <w:sz w:val="20"/>
          <w:szCs w:val="20"/>
        </w:rPr>
      </w:pPr>
    </w:p>
    <w:p w:rsidR="006808DB" w:rsidRDefault="006808DB">
      <w:pPr>
        <w:spacing w:line="520" w:lineRule="exact"/>
        <w:ind w:firstLineChars="200" w:firstLine="400"/>
        <w:rPr>
          <w:rFonts w:ascii="微软雅黑" w:eastAsia="微软雅黑" w:hAnsi="微软雅黑" w:cs="微软雅黑"/>
          <w:sz w:val="20"/>
          <w:szCs w:val="20"/>
        </w:rPr>
      </w:pPr>
    </w:p>
    <w:p w:rsidR="006808DB" w:rsidRDefault="006808DB" w:rsidP="00AF7CCE">
      <w:pPr>
        <w:spacing w:line="520" w:lineRule="exact"/>
        <w:ind w:firstLineChars="200" w:firstLine="400"/>
        <w:jc w:val="center"/>
        <w:rPr>
          <w:rFonts w:ascii="微软雅黑" w:eastAsia="微软雅黑" w:hAnsi="微软雅黑" w:cs="微软雅黑"/>
          <w:sz w:val="20"/>
          <w:szCs w:val="20"/>
        </w:rPr>
      </w:pPr>
    </w:p>
    <w:p w:rsidR="006808DB" w:rsidRDefault="006808DB">
      <w:pPr>
        <w:spacing w:line="520" w:lineRule="exact"/>
        <w:ind w:firstLineChars="200" w:firstLine="400"/>
        <w:jc w:val="center"/>
        <w:rPr>
          <w:rFonts w:ascii="微软雅黑" w:eastAsia="微软雅黑" w:hAnsi="微软雅黑" w:cs="微软雅黑"/>
          <w:sz w:val="20"/>
          <w:szCs w:val="20"/>
        </w:rPr>
      </w:pPr>
    </w:p>
    <w:p w:rsidR="00AF7CCE" w:rsidRDefault="00AF7CCE">
      <w:pPr>
        <w:spacing w:line="520" w:lineRule="exact"/>
        <w:ind w:firstLineChars="200" w:firstLine="400"/>
        <w:jc w:val="center"/>
        <w:rPr>
          <w:rFonts w:ascii="微软雅黑" w:eastAsia="微软雅黑" w:hAnsi="微软雅黑" w:cs="微软雅黑"/>
          <w:b/>
          <w:sz w:val="20"/>
          <w:szCs w:val="20"/>
        </w:rPr>
      </w:pPr>
    </w:p>
    <w:p w:rsidR="00AF7CCE" w:rsidRDefault="00AF7CCE">
      <w:pPr>
        <w:spacing w:line="520" w:lineRule="exact"/>
        <w:ind w:firstLineChars="200" w:firstLine="400"/>
        <w:jc w:val="center"/>
        <w:rPr>
          <w:rFonts w:ascii="微软雅黑" w:eastAsia="微软雅黑" w:hAnsi="微软雅黑" w:cs="微软雅黑"/>
          <w:b/>
          <w:sz w:val="20"/>
          <w:szCs w:val="20"/>
        </w:rPr>
      </w:pPr>
    </w:p>
    <w:p w:rsidR="00AF7CCE" w:rsidRDefault="00AF7CCE">
      <w:pPr>
        <w:spacing w:line="520" w:lineRule="exact"/>
        <w:ind w:firstLineChars="200" w:firstLine="400"/>
        <w:jc w:val="center"/>
        <w:rPr>
          <w:rFonts w:ascii="微软雅黑" w:eastAsia="微软雅黑" w:hAnsi="微软雅黑" w:cs="微软雅黑"/>
          <w:b/>
          <w:sz w:val="20"/>
          <w:szCs w:val="20"/>
        </w:rPr>
      </w:pPr>
    </w:p>
    <w:p w:rsidR="00AF7CCE" w:rsidRDefault="00AF7CCE">
      <w:pPr>
        <w:spacing w:line="520" w:lineRule="exact"/>
        <w:ind w:firstLineChars="200" w:firstLine="400"/>
        <w:jc w:val="center"/>
        <w:rPr>
          <w:rFonts w:ascii="微软雅黑" w:eastAsia="微软雅黑" w:hAnsi="微软雅黑" w:cs="微软雅黑"/>
          <w:b/>
          <w:sz w:val="20"/>
          <w:szCs w:val="20"/>
        </w:rPr>
      </w:pPr>
    </w:p>
    <w:p w:rsidR="006808DB" w:rsidRPr="00AF7CCE" w:rsidRDefault="005C778F" w:rsidP="00AF7CCE">
      <w:pPr>
        <w:spacing w:line="520" w:lineRule="exact"/>
        <w:ind w:firstLineChars="200" w:firstLine="400"/>
        <w:jc w:val="center"/>
        <w:rPr>
          <w:rFonts w:ascii="微软雅黑" w:eastAsia="微软雅黑" w:hAnsi="微软雅黑" w:cs="微软雅黑"/>
          <w:b/>
          <w:sz w:val="20"/>
          <w:szCs w:val="20"/>
        </w:rPr>
      </w:pPr>
      <w:r w:rsidRPr="00AF7CCE">
        <w:rPr>
          <w:rFonts w:ascii="微软雅黑" w:eastAsia="微软雅黑" w:hAnsi="微软雅黑" w:cs="微软雅黑" w:hint="eastAsia"/>
          <w:b/>
          <w:sz w:val="20"/>
          <w:szCs w:val="20"/>
        </w:rPr>
        <w:t>留用土地地价计收规则</w:t>
      </w:r>
    </w:p>
    <w:p w:rsidR="006808DB" w:rsidRPr="008949AD" w:rsidRDefault="005C778F">
      <w:pPr>
        <w:spacing w:line="520" w:lineRule="exact"/>
        <w:ind w:firstLineChars="200" w:firstLine="400"/>
        <w:rPr>
          <w:rFonts w:ascii="微软雅黑" w:eastAsia="微软雅黑" w:hAnsi="微软雅黑" w:cs="微软雅黑"/>
          <w:b/>
          <w:sz w:val="20"/>
          <w:szCs w:val="20"/>
        </w:rPr>
      </w:pPr>
      <w:r w:rsidRPr="008949AD">
        <w:rPr>
          <w:rFonts w:ascii="微软雅黑" w:eastAsia="微软雅黑" w:hAnsi="微软雅黑" w:cs="微软雅黑" w:hint="eastAsia"/>
          <w:b/>
          <w:sz w:val="20"/>
          <w:szCs w:val="20"/>
        </w:rPr>
        <w:t>一、整村统筹整备项目</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整村统筹整备留用土地规划为工业用地的，需腾挪的合法用地以及需在试点项目范围内落实的非农建设用地和征地返还用地指标，按照公告基准地价的10%计收；按未完善征（转）地补偿手续规划建设用地核算的部分，按照公告基准地价的50%计收。</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留用土地规划为居住用地、商业服务业用地的，结合项目所在区位、建设用地贡献率，确定整村地价容积率（R</w:t>
      </w:r>
      <w:r>
        <w:rPr>
          <w:rFonts w:ascii="微软雅黑" w:eastAsia="微软雅黑" w:hAnsi="微软雅黑" w:cs="微软雅黑" w:hint="eastAsia"/>
          <w:sz w:val="20"/>
          <w:szCs w:val="20"/>
          <w:vertAlign w:val="subscript"/>
        </w:rPr>
        <w:t>整村地价</w:t>
      </w:r>
      <w:r>
        <w:rPr>
          <w:rFonts w:ascii="微软雅黑" w:eastAsia="微软雅黑" w:hAnsi="微软雅黑" w:cs="微软雅黑" w:hint="eastAsia"/>
          <w:sz w:val="20"/>
          <w:szCs w:val="20"/>
        </w:rPr>
        <w:t>），按照分段方式计收地价。整村地价容积率计算公式如下：</w:t>
      </w:r>
    </w:p>
    <w:p w:rsidR="006808DB" w:rsidRDefault="005C778F">
      <w:pPr>
        <w:spacing w:line="520" w:lineRule="exact"/>
        <w:ind w:firstLineChars="200" w:firstLine="400"/>
        <w:jc w:val="center"/>
        <w:rPr>
          <w:rFonts w:ascii="微软雅黑" w:eastAsia="微软雅黑" w:hAnsi="微软雅黑" w:cs="微软雅黑"/>
          <w:sz w:val="20"/>
          <w:szCs w:val="20"/>
          <w:vertAlign w:val="subscript"/>
        </w:rPr>
      </w:pPr>
      <w:r>
        <w:rPr>
          <w:rFonts w:ascii="微软雅黑" w:eastAsia="微软雅黑" w:hAnsi="微软雅黑" w:cs="微软雅黑" w:hint="eastAsia"/>
          <w:sz w:val="20"/>
          <w:szCs w:val="20"/>
        </w:rPr>
        <w:t>R</w:t>
      </w:r>
      <w:r>
        <w:rPr>
          <w:rFonts w:ascii="微软雅黑" w:eastAsia="微软雅黑" w:hAnsi="微软雅黑" w:cs="微软雅黑" w:hint="eastAsia"/>
          <w:sz w:val="20"/>
          <w:szCs w:val="20"/>
          <w:vertAlign w:val="subscript"/>
        </w:rPr>
        <w:t>整村地价</w:t>
      </w:r>
      <w:r>
        <w:rPr>
          <w:rFonts w:ascii="微软雅黑" w:eastAsia="微软雅黑" w:hAnsi="微软雅黑" w:cs="微软雅黑" w:hint="eastAsia"/>
          <w:sz w:val="20"/>
          <w:szCs w:val="20"/>
        </w:rPr>
        <w:t>=建设用地贡献率÷35%×R</w:t>
      </w:r>
      <w:r>
        <w:rPr>
          <w:rFonts w:ascii="微软雅黑" w:eastAsia="微软雅黑" w:hAnsi="微软雅黑" w:cs="微软雅黑" w:hint="eastAsia"/>
          <w:sz w:val="20"/>
          <w:szCs w:val="20"/>
          <w:vertAlign w:val="subscript"/>
        </w:rPr>
        <w:t>整村基准</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建设用地贡献率——移交政府储备的规划建设用地面积与试点项目范围内规划建设用地面积的比值。</w:t>
      </w:r>
    </w:p>
    <w:p w:rsidR="006808DB" w:rsidRDefault="005C778F" w:rsidP="00AF7CCE">
      <w:pPr>
        <w:spacing w:line="520" w:lineRule="exact"/>
        <w:ind w:firstLineChars="200" w:firstLine="400"/>
        <w:rPr>
          <w:rFonts w:ascii="微软雅黑" w:eastAsia="微软雅黑" w:hAnsi="微软雅黑" w:cs="微软雅黑"/>
          <w:sz w:val="20"/>
          <w:szCs w:val="20"/>
          <w:vertAlign w:val="subscript"/>
        </w:rPr>
      </w:pPr>
      <w:r>
        <w:rPr>
          <w:rFonts w:ascii="微软雅黑" w:eastAsia="微软雅黑" w:hAnsi="微软雅黑" w:cs="微软雅黑" w:hint="eastAsia"/>
          <w:sz w:val="20"/>
          <w:szCs w:val="20"/>
        </w:rPr>
        <w:t>R</w:t>
      </w:r>
      <w:r>
        <w:rPr>
          <w:rFonts w:ascii="微软雅黑" w:eastAsia="微软雅黑" w:hAnsi="微软雅黑" w:cs="微软雅黑" w:hint="eastAsia"/>
          <w:sz w:val="20"/>
          <w:szCs w:val="20"/>
          <w:vertAlign w:val="subscript"/>
        </w:rPr>
        <w:t>整村基准</w:t>
      </w:r>
      <w:r>
        <w:rPr>
          <w:rFonts w:ascii="微软雅黑" w:eastAsia="微软雅黑" w:hAnsi="微软雅黑" w:cs="微软雅黑" w:hint="eastAsia"/>
          <w:sz w:val="20"/>
          <w:szCs w:val="20"/>
        </w:rPr>
        <w:t>——2013版《深圳市城市规划标准与准则》中密度分区的基准容积率。位于密度四区和密度五区的试点项目，统一按照密度三区计算。</w:t>
      </w:r>
    </w:p>
    <w:p w:rsidR="006808DB" w:rsidRPr="00AF7CCE" w:rsidRDefault="005C778F">
      <w:pPr>
        <w:spacing w:line="520" w:lineRule="exact"/>
        <w:ind w:firstLineChars="200" w:firstLine="400"/>
        <w:jc w:val="center"/>
        <w:rPr>
          <w:rFonts w:ascii="微软雅黑" w:eastAsia="微软雅黑" w:hAnsi="微软雅黑" w:cs="微软雅黑"/>
          <w:b/>
          <w:sz w:val="20"/>
          <w:szCs w:val="20"/>
        </w:rPr>
      </w:pPr>
      <w:r w:rsidRPr="00AF7CCE">
        <w:rPr>
          <w:rFonts w:ascii="微软雅黑" w:eastAsia="微软雅黑" w:hAnsi="微软雅黑" w:cs="微软雅黑" w:hint="eastAsia"/>
          <w:b/>
          <w:sz w:val="20"/>
          <w:szCs w:val="20"/>
        </w:rPr>
        <w:t>整村统筹整备留用土地地价计收标准</w:t>
      </w:r>
    </w:p>
    <w:tbl>
      <w:tblPr>
        <w:tblW w:w="949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3617"/>
        <w:gridCol w:w="1914"/>
        <w:gridCol w:w="2265"/>
      </w:tblGrid>
      <w:tr w:rsidR="006808DB">
        <w:trPr>
          <w:trHeight w:val="140"/>
          <w:jc w:val="center"/>
        </w:trPr>
        <w:tc>
          <w:tcPr>
            <w:tcW w:w="1697" w:type="dxa"/>
            <w:vMerge w:val="restart"/>
          </w:tcPr>
          <w:p w:rsidR="006808DB" w:rsidRDefault="005C778F">
            <w:pPr>
              <w:spacing w:line="520" w:lineRule="exact"/>
              <w:ind w:firstLineChars="200" w:firstLine="400"/>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t>留用土地</w:t>
            </w:r>
          </w:p>
          <w:p w:rsidR="006808DB" w:rsidRDefault="005C778F">
            <w:pPr>
              <w:spacing w:line="520" w:lineRule="exact"/>
              <w:ind w:firstLineChars="200" w:firstLine="400"/>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t>容积率分段</w:t>
            </w:r>
          </w:p>
        </w:tc>
        <w:tc>
          <w:tcPr>
            <w:tcW w:w="3617" w:type="dxa"/>
            <w:vMerge w:val="restart"/>
            <w:vAlign w:val="center"/>
          </w:tcPr>
          <w:p w:rsidR="006808DB" w:rsidRDefault="005C778F">
            <w:pPr>
              <w:spacing w:line="520" w:lineRule="exact"/>
              <w:ind w:firstLineChars="200" w:firstLine="400"/>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t>留用土地</w:t>
            </w:r>
          </w:p>
        </w:tc>
        <w:tc>
          <w:tcPr>
            <w:tcW w:w="4179" w:type="dxa"/>
            <w:gridSpan w:val="2"/>
            <w:vAlign w:val="center"/>
          </w:tcPr>
          <w:p w:rsidR="006808DB" w:rsidRDefault="005C778F">
            <w:pPr>
              <w:spacing w:line="520" w:lineRule="exact"/>
              <w:ind w:firstLineChars="200" w:firstLine="400"/>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t>留用土地规划用途</w:t>
            </w:r>
          </w:p>
        </w:tc>
      </w:tr>
      <w:tr w:rsidR="006808DB">
        <w:trPr>
          <w:trHeight w:val="290"/>
          <w:jc w:val="center"/>
        </w:trPr>
        <w:tc>
          <w:tcPr>
            <w:tcW w:w="1697" w:type="dxa"/>
            <w:vMerge/>
          </w:tcPr>
          <w:p w:rsidR="006808DB" w:rsidRDefault="006808DB">
            <w:pPr>
              <w:spacing w:line="520" w:lineRule="exact"/>
              <w:ind w:firstLineChars="200" w:firstLine="400"/>
              <w:jc w:val="center"/>
              <w:rPr>
                <w:rFonts w:ascii="微软雅黑" w:eastAsia="微软雅黑" w:hAnsi="微软雅黑" w:cs="微软雅黑"/>
                <w:b/>
                <w:sz w:val="20"/>
                <w:szCs w:val="20"/>
              </w:rPr>
            </w:pPr>
          </w:p>
        </w:tc>
        <w:tc>
          <w:tcPr>
            <w:tcW w:w="3617" w:type="dxa"/>
            <w:vMerge/>
            <w:vAlign w:val="center"/>
          </w:tcPr>
          <w:p w:rsidR="006808DB" w:rsidRDefault="006808DB">
            <w:pPr>
              <w:spacing w:line="520" w:lineRule="exact"/>
              <w:ind w:firstLineChars="200" w:firstLine="400"/>
              <w:jc w:val="center"/>
              <w:rPr>
                <w:rFonts w:ascii="微软雅黑" w:eastAsia="微软雅黑" w:hAnsi="微软雅黑" w:cs="微软雅黑"/>
                <w:b/>
                <w:sz w:val="20"/>
                <w:szCs w:val="20"/>
              </w:rPr>
            </w:pPr>
          </w:p>
        </w:tc>
        <w:tc>
          <w:tcPr>
            <w:tcW w:w="1914" w:type="dxa"/>
            <w:vAlign w:val="center"/>
          </w:tcPr>
          <w:p w:rsidR="006808DB" w:rsidRDefault="005C778F">
            <w:pPr>
              <w:spacing w:line="520" w:lineRule="exact"/>
              <w:ind w:firstLineChars="200" w:firstLine="400"/>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t>居住用地</w:t>
            </w:r>
          </w:p>
        </w:tc>
        <w:tc>
          <w:tcPr>
            <w:tcW w:w="2265" w:type="dxa"/>
            <w:vAlign w:val="center"/>
          </w:tcPr>
          <w:p w:rsidR="006808DB" w:rsidRDefault="005C778F">
            <w:pPr>
              <w:spacing w:line="520" w:lineRule="exact"/>
              <w:ind w:firstLineChars="200" w:firstLine="400"/>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t>商业服务业用地</w:t>
            </w:r>
          </w:p>
        </w:tc>
      </w:tr>
      <w:tr w:rsidR="006808DB">
        <w:trPr>
          <w:trHeight w:val="552"/>
          <w:jc w:val="center"/>
        </w:trPr>
        <w:tc>
          <w:tcPr>
            <w:tcW w:w="1697" w:type="dxa"/>
            <w:vMerge w:val="restart"/>
            <w:vAlign w:val="center"/>
          </w:tcPr>
          <w:p w:rsidR="006808DB" w:rsidRDefault="005C778F">
            <w:pPr>
              <w:widowControl/>
              <w:spacing w:line="520" w:lineRule="exact"/>
              <w:ind w:firstLineChars="200" w:firstLine="400"/>
              <w:rPr>
                <w:rFonts w:ascii="微软雅黑" w:eastAsia="微软雅黑" w:hAnsi="微软雅黑" w:cs="微软雅黑"/>
                <w:sz w:val="20"/>
                <w:szCs w:val="20"/>
                <w:vertAlign w:val="subscript"/>
              </w:rPr>
            </w:pPr>
            <w:r>
              <w:rPr>
                <w:rFonts w:ascii="微软雅黑" w:eastAsia="微软雅黑" w:hAnsi="微软雅黑" w:cs="微软雅黑" w:hint="eastAsia"/>
                <w:sz w:val="20"/>
                <w:szCs w:val="20"/>
              </w:rPr>
              <w:t>小于R</w:t>
            </w:r>
            <w:r>
              <w:rPr>
                <w:rFonts w:ascii="微软雅黑" w:eastAsia="微软雅黑" w:hAnsi="微软雅黑" w:cs="微软雅黑" w:hint="eastAsia"/>
                <w:sz w:val="20"/>
                <w:szCs w:val="20"/>
                <w:vertAlign w:val="subscript"/>
              </w:rPr>
              <w:t>整村地价</w:t>
            </w:r>
            <w:r>
              <w:rPr>
                <w:rFonts w:ascii="微软雅黑" w:eastAsia="微软雅黑" w:hAnsi="微软雅黑" w:cs="微软雅黑" w:hint="eastAsia"/>
                <w:sz w:val="20"/>
                <w:szCs w:val="20"/>
              </w:rPr>
              <w:t>（含）的部分</w:t>
            </w:r>
          </w:p>
        </w:tc>
        <w:tc>
          <w:tcPr>
            <w:tcW w:w="3617" w:type="dxa"/>
            <w:vAlign w:val="center"/>
          </w:tcPr>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需腾挪的合法用地</w:t>
            </w:r>
          </w:p>
        </w:tc>
        <w:tc>
          <w:tcPr>
            <w:tcW w:w="4179" w:type="dxa"/>
            <w:gridSpan w:val="2"/>
            <w:vMerge w:val="restart"/>
            <w:vAlign w:val="center"/>
          </w:tcPr>
          <w:p w:rsidR="006808DB" w:rsidRDefault="005C778F">
            <w:pPr>
              <w:widowControl/>
              <w:spacing w:line="520" w:lineRule="exact"/>
              <w:ind w:firstLineChars="200" w:firstLine="400"/>
              <w:jc w:val="center"/>
              <w:rPr>
                <w:rFonts w:ascii="微软雅黑" w:eastAsia="微软雅黑" w:hAnsi="微软雅黑" w:cs="微软雅黑"/>
                <w:sz w:val="20"/>
                <w:szCs w:val="20"/>
              </w:rPr>
            </w:pPr>
            <w:r>
              <w:rPr>
                <w:rFonts w:ascii="微软雅黑" w:eastAsia="微软雅黑" w:hAnsi="微软雅黑" w:cs="微软雅黑" w:hint="eastAsia"/>
                <w:sz w:val="20"/>
                <w:szCs w:val="20"/>
              </w:rPr>
              <w:t>10%×公告基准地价</w:t>
            </w:r>
          </w:p>
        </w:tc>
      </w:tr>
      <w:tr w:rsidR="006808DB">
        <w:trPr>
          <w:trHeight w:val="683"/>
          <w:jc w:val="center"/>
        </w:trPr>
        <w:tc>
          <w:tcPr>
            <w:tcW w:w="1697" w:type="dxa"/>
            <w:vMerge/>
            <w:vAlign w:val="center"/>
          </w:tcPr>
          <w:p w:rsidR="006808DB" w:rsidRDefault="006808DB">
            <w:pPr>
              <w:widowControl/>
              <w:spacing w:line="520" w:lineRule="exact"/>
              <w:ind w:firstLineChars="200" w:firstLine="400"/>
              <w:rPr>
                <w:rFonts w:ascii="微软雅黑" w:eastAsia="微软雅黑" w:hAnsi="微软雅黑" w:cs="微软雅黑"/>
                <w:sz w:val="20"/>
                <w:szCs w:val="20"/>
              </w:rPr>
            </w:pPr>
          </w:p>
        </w:tc>
        <w:tc>
          <w:tcPr>
            <w:tcW w:w="3617" w:type="dxa"/>
            <w:vAlign w:val="center"/>
          </w:tcPr>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需在试点项目范围内落实的非农建设用地和征地返还用地指标</w:t>
            </w:r>
          </w:p>
        </w:tc>
        <w:tc>
          <w:tcPr>
            <w:tcW w:w="4179" w:type="dxa"/>
            <w:gridSpan w:val="2"/>
            <w:vMerge/>
            <w:vAlign w:val="center"/>
          </w:tcPr>
          <w:p w:rsidR="006808DB" w:rsidRDefault="006808DB">
            <w:pPr>
              <w:widowControl/>
              <w:spacing w:line="520" w:lineRule="exact"/>
              <w:ind w:firstLineChars="200" w:firstLine="400"/>
              <w:jc w:val="center"/>
              <w:rPr>
                <w:rFonts w:ascii="微软雅黑" w:eastAsia="微软雅黑" w:hAnsi="微软雅黑" w:cs="微软雅黑"/>
                <w:sz w:val="20"/>
                <w:szCs w:val="20"/>
              </w:rPr>
            </w:pPr>
          </w:p>
        </w:tc>
      </w:tr>
      <w:tr w:rsidR="006808DB">
        <w:trPr>
          <w:trHeight w:val="380"/>
          <w:jc w:val="center"/>
        </w:trPr>
        <w:tc>
          <w:tcPr>
            <w:tcW w:w="1697" w:type="dxa"/>
            <w:vMerge/>
            <w:vAlign w:val="center"/>
          </w:tcPr>
          <w:p w:rsidR="006808DB" w:rsidRDefault="006808DB">
            <w:pPr>
              <w:widowControl/>
              <w:spacing w:line="520" w:lineRule="exact"/>
              <w:ind w:firstLineChars="200" w:firstLine="400"/>
              <w:rPr>
                <w:rFonts w:ascii="微软雅黑" w:eastAsia="微软雅黑" w:hAnsi="微软雅黑" w:cs="微软雅黑"/>
                <w:sz w:val="20"/>
                <w:szCs w:val="20"/>
              </w:rPr>
            </w:pPr>
          </w:p>
        </w:tc>
        <w:tc>
          <w:tcPr>
            <w:tcW w:w="3617" w:type="dxa"/>
            <w:vAlign w:val="center"/>
          </w:tcPr>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按未完善征（转）地补偿手续规划建设用地核算的部分</w:t>
            </w:r>
          </w:p>
        </w:tc>
        <w:tc>
          <w:tcPr>
            <w:tcW w:w="4179" w:type="dxa"/>
            <w:gridSpan w:val="2"/>
            <w:vAlign w:val="center"/>
          </w:tcPr>
          <w:p w:rsidR="006808DB" w:rsidRDefault="005C778F">
            <w:pPr>
              <w:spacing w:line="520" w:lineRule="exact"/>
              <w:ind w:firstLineChars="200" w:firstLine="400"/>
              <w:jc w:val="center"/>
              <w:rPr>
                <w:rFonts w:ascii="微软雅黑" w:eastAsia="微软雅黑" w:hAnsi="微软雅黑" w:cs="微软雅黑"/>
                <w:sz w:val="20"/>
                <w:szCs w:val="20"/>
              </w:rPr>
            </w:pPr>
            <w:r>
              <w:rPr>
                <w:rFonts w:ascii="微软雅黑" w:eastAsia="微软雅黑" w:hAnsi="微软雅黑" w:cs="微软雅黑" w:hint="eastAsia"/>
                <w:sz w:val="20"/>
                <w:szCs w:val="20"/>
              </w:rPr>
              <w:t>公告基准地价</w:t>
            </w:r>
          </w:p>
        </w:tc>
      </w:tr>
      <w:tr w:rsidR="006808DB">
        <w:trPr>
          <w:trHeight w:val="525"/>
          <w:jc w:val="center"/>
        </w:trPr>
        <w:tc>
          <w:tcPr>
            <w:tcW w:w="1697" w:type="dxa"/>
            <w:vMerge w:val="restart"/>
            <w:vAlign w:val="center"/>
          </w:tcPr>
          <w:p w:rsidR="006808DB" w:rsidRDefault="005C778F">
            <w:pPr>
              <w:widowControl/>
              <w:spacing w:line="520" w:lineRule="exact"/>
              <w:ind w:firstLineChars="200" w:firstLine="400"/>
              <w:rPr>
                <w:rFonts w:ascii="微软雅黑" w:eastAsia="微软雅黑" w:hAnsi="微软雅黑" w:cs="微软雅黑"/>
                <w:sz w:val="20"/>
                <w:szCs w:val="20"/>
                <w:vertAlign w:val="subscript"/>
              </w:rPr>
            </w:pPr>
            <w:r>
              <w:rPr>
                <w:rFonts w:ascii="微软雅黑" w:eastAsia="微软雅黑" w:hAnsi="微软雅黑" w:cs="微软雅黑" w:hint="eastAsia"/>
                <w:sz w:val="20"/>
                <w:szCs w:val="20"/>
              </w:rPr>
              <w:t>大于R</w:t>
            </w:r>
            <w:r>
              <w:rPr>
                <w:rFonts w:ascii="微软雅黑" w:eastAsia="微软雅黑" w:hAnsi="微软雅黑" w:cs="微软雅黑" w:hint="eastAsia"/>
                <w:sz w:val="20"/>
                <w:szCs w:val="20"/>
                <w:vertAlign w:val="subscript"/>
              </w:rPr>
              <w:t>整村地</w:t>
            </w:r>
            <w:r>
              <w:rPr>
                <w:rFonts w:ascii="微软雅黑" w:eastAsia="微软雅黑" w:hAnsi="微软雅黑" w:cs="微软雅黑" w:hint="eastAsia"/>
                <w:sz w:val="20"/>
                <w:szCs w:val="20"/>
                <w:vertAlign w:val="subscript"/>
              </w:rPr>
              <w:lastRenderedPageBreak/>
              <w:t>价</w:t>
            </w:r>
            <w:r>
              <w:rPr>
                <w:rFonts w:ascii="微软雅黑" w:eastAsia="微软雅黑" w:hAnsi="微软雅黑" w:cs="微软雅黑" w:hint="eastAsia"/>
                <w:sz w:val="20"/>
                <w:szCs w:val="20"/>
              </w:rPr>
              <w:t>的部分</w:t>
            </w:r>
          </w:p>
        </w:tc>
        <w:tc>
          <w:tcPr>
            <w:tcW w:w="3617" w:type="dxa"/>
            <w:vAlign w:val="center"/>
          </w:tcPr>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需腾挪的合法用地</w:t>
            </w:r>
          </w:p>
        </w:tc>
        <w:tc>
          <w:tcPr>
            <w:tcW w:w="1914" w:type="dxa"/>
            <w:vMerge w:val="restart"/>
            <w:vAlign w:val="center"/>
          </w:tcPr>
          <w:p w:rsidR="006808DB" w:rsidRDefault="005C778F">
            <w:pPr>
              <w:widowControl/>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250%×公告基</w:t>
            </w:r>
            <w:r>
              <w:rPr>
                <w:rFonts w:ascii="微软雅黑" w:eastAsia="微软雅黑" w:hAnsi="微软雅黑" w:cs="微软雅黑" w:hint="eastAsia"/>
                <w:sz w:val="20"/>
                <w:szCs w:val="20"/>
              </w:rPr>
              <w:lastRenderedPageBreak/>
              <w:t>准地价</w:t>
            </w:r>
          </w:p>
        </w:tc>
        <w:tc>
          <w:tcPr>
            <w:tcW w:w="2265" w:type="dxa"/>
            <w:vMerge w:val="restart"/>
            <w:vAlign w:val="center"/>
          </w:tcPr>
          <w:p w:rsidR="006808DB" w:rsidRDefault="005C778F">
            <w:pPr>
              <w:widowControl/>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200%×公告基准</w:t>
            </w:r>
            <w:r>
              <w:rPr>
                <w:rFonts w:ascii="微软雅黑" w:eastAsia="微软雅黑" w:hAnsi="微软雅黑" w:cs="微软雅黑" w:hint="eastAsia"/>
                <w:sz w:val="20"/>
                <w:szCs w:val="20"/>
              </w:rPr>
              <w:lastRenderedPageBreak/>
              <w:t>地价</w:t>
            </w:r>
          </w:p>
        </w:tc>
      </w:tr>
      <w:tr w:rsidR="006808DB">
        <w:trPr>
          <w:trHeight w:val="631"/>
          <w:jc w:val="center"/>
        </w:trPr>
        <w:tc>
          <w:tcPr>
            <w:tcW w:w="1697" w:type="dxa"/>
            <w:vMerge/>
            <w:vAlign w:val="center"/>
          </w:tcPr>
          <w:p w:rsidR="006808DB" w:rsidRDefault="006808DB">
            <w:pPr>
              <w:widowControl/>
              <w:spacing w:line="520" w:lineRule="exact"/>
              <w:ind w:firstLineChars="200" w:firstLine="400"/>
              <w:rPr>
                <w:rFonts w:ascii="微软雅黑" w:eastAsia="微软雅黑" w:hAnsi="微软雅黑" w:cs="微软雅黑"/>
                <w:sz w:val="20"/>
                <w:szCs w:val="20"/>
              </w:rPr>
            </w:pPr>
          </w:p>
        </w:tc>
        <w:tc>
          <w:tcPr>
            <w:tcW w:w="3617" w:type="dxa"/>
            <w:vAlign w:val="center"/>
          </w:tcPr>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需在试点项目范围内落实的非农建设用地和征地返还用地指标</w:t>
            </w:r>
          </w:p>
        </w:tc>
        <w:tc>
          <w:tcPr>
            <w:tcW w:w="1914" w:type="dxa"/>
            <w:vMerge/>
            <w:vAlign w:val="center"/>
          </w:tcPr>
          <w:p w:rsidR="006808DB" w:rsidRDefault="006808DB">
            <w:pPr>
              <w:widowControl/>
              <w:spacing w:line="520" w:lineRule="exact"/>
              <w:ind w:firstLineChars="200" w:firstLine="400"/>
              <w:rPr>
                <w:rFonts w:ascii="微软雅黑" w:eastAsia="微软雅黑" w:hAnsi="微软雅黑" w:cs="微软雅黑"/>
                <w:sz w:val="20"/>
                <w:szCs w:val="20"/>
              </w:rPr>
            </w:pPr>
          </w:p>
        </w:tc>
        <w:tc>
          <w:tcPr>
            <w:tcW w:w="2265" w:type="dxa"/>
            <w:vMerge/>
            <w:vAlign w:val="center"/>
          </w:tcPr>
          <w:p w:rsidR="006808DB" w:rsidRDefault="006808DB">
            <w:pPr>
              <w:widowControl/>
              <w:spacing w:line="520" w:lineRule="exact"/>
              <w:ind w:firstLineChars="200" w:firstLine="400"/>
              <w:rPr>
                <w:rFonts w:ascii="微软雅黑" w:eastAsia="微软雅黑" w:hAnsi="微软雅黑" w:cs="微软雅黑"/>
                <w:sz w:val="20"/>
                <w:szCs w:val="20"/>
              </w:rPr>
            </w:pPr>
          </w:p>
        </w:tc>
      </w:tr>
      <w:tr w:rsidR="006808DB">
        <w:trPr>
          <w:trHeight w:val="77"/>
          <w:jc w:val="center"/>
        </w:trPr>
        <w:tc>
          <w:tcPr>
            <w:tcW w:w="1697" w:type="dxa"/>
            <w:vMerge/>
            <w:vAlign w:val="center"/>
          </w:tcPr>
          <w:p w:rsidR="006808DB" w:rsidRDefault="006808DB">
            <w:pPr>
              <w:widowControl/>
              <w:spacing w:line="520" w:lineRule="exact"/>
              <w:ind w:firstLineChars="200" w:firstLine="400"/>
              <w:rPr>
                <w:rFonts w:ascii="微软雅黑" w:eastAsia="微软雅黑" w:hAnsi="微软雅黑" w:cs="微软雅黑"/>
                <w:sz w:val="20"/>
                <w:szCs w:val="20"/>
              </w:rPr>
            </w:pPr>
          </w:p>
        </w:tc>
        <w:tc>
          <w:tcPr>
            <w:tcW w:w="3617" w:type="dxa"/>
            <w:vAlign w:val="center"/>
          </w:tcPr>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按未完善征（转）地补偿手续规划建设用地核算的部分</w:t>
            </w:r>
          </w:p>
        </w:tc>
        <w:tc>
          <w:tcPr>
            <w:tcW w:w="1914" w:type="dxa"/>
            <w:vMerge/>
            <w:vAlign w:val="center"/>
          </w:tcPr>
          <w:p w:rsidR="006808DB" w:rsidRDefault="006808DB">
            <w:pPr>
              <w:widowControl/>
              <w:spacing w:line="520" w:lineRule="exact"/>
              <w:ind w:firstLineChars="200" w:firstLine="400"/>
              <w:rPr>
                <w:rFonts w:ascii="微软雅黑" w:eastAsia="微软雅黑" w:hAnsi="微软雅黑" w:cs="微软雅黑"/>
                <w:sz w:val="20"/>
                <w:szCs w:val="20"/>
              </w:rPr>
            </w:pPr>
          </w:p>
        </w:tc>
        <w:tc>
          <w:tcPr>
            <w:tcW w:w="2265" w:type="dxa"/>
            <w:vMerge/>
            <w:vAlign w:val="center"/>
          </w:tcPr>
          <w:p w:rsidR="006808DB" w:rsidRDefault="006808DB">
            <w:pPr>
              <w:widowControl/>
              <w:spacing w:line="520" w:lineRule="exact"/>
              <w:ind w:firstLineChars="200" w:firstLine="400"/>
              <w:rPr>
                <w:rFonts w:ascii="微软雅黑" w:eastAsia="微软雅黑" w:hAnsi="微软雅黑" w:cs="微软雅黑"/>
                <w:sz w:val="20"/>
                <w:szCs w:val="20"/>
              </w:rPr>
            </w:pPr>
          </w:p>
        </w:tc>
      </w:tr>
    </w:tbl>
    <w:p w:rsidR="006808DB" w:rsidRPr="00205528" w:rsidRDefault="005C778F" w:rsidP="00205528">
      <w:pPr>
        <w:spacing w:line="520" w:lineRule="exact"/>
        <w:ind w:firstLineChars="200" w:firstLine="400"/>
        <w:rPr>
          <w:rFonts w:ascii="微软雅黑" w:eastAsia="微软雅黑" w:hAnsi="微软雅黑" w:cs="微软雅黑"/>
          <w:b/>
          <w:sz w:val="20"/>
          <w:szCs w:val="20"/>
        </w:rPr>
      </w:pPr>
      <w:r w:rsidRPr="00205528">
        <w:rPr>
          <w:rFonts w:ascii="微软雅黑" w:eastAsia="微软雅黑" w:hAnsi="微软雅黑" w:cs="微软雅黑" w:hint="eastAsia"/>
          <w:b/>
          <w:sz w:val="20"/>
          <w:szCs w:val="20"/>
        </w:rPr>
        <w:t>二、片区统筹整备项目</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片区统筹整备留用土地结合建设用地贡献率，确定片区地价容积率 （R</w:t>
      </w:r>
      <w:r>
        <w:rPr>
          <w:rFonts w:ascii="微软雅黑" w:eastAsia="微软雅黑" w:hAnsi="微软雅黑" w:cs="微软雅黑" w:hint="eastAsia"/>
          <w:sz w:val="20"/>
          <w:szCs w:val="20"/>
          <w:vertAlign w:val="subscript"/>
        </w:rPr>
        <w:t>片区地价</w:t>
      </w:r>
      <w:r>
        <w:rPr>
          <w:rFonts w:ascii="微软雅黑" w:eastAsia="微软雅黑" w:hAnsi="微软雅黑" w:cs="微软雅黑" w:hint="eastAsia"/>
          <w:sz w:val="20"/>
          <w:szCs w:val="20"/>
        </w:rPr>
        <w:t>），按照分段方式计收地价。片区地价容积率计算公式如下：</w:t>
      </w:r>
    </w:p>
    <w:p w:rsidR="006808DB" w:rsidRDefault="005C778F">
      <w:pPr>
        <w:snapToGrid w:val="0"/>
        <w:spacing w:line="520" w:lineRule="exact"/>
        <w:ind w:firstLineChars="200" w:firstLine="400"/>
        <w:jc w:val="center"/>
        <w:rPr>
          <w:rFonts w:ascii="微软雅黑" w:eastAsia="微软雅黑" w:hAnsi="微软雅黑" w:cs="微软雅黑"/>
          <w:sz w:val="20"/>
          <w:szCs w:val="20"/>
        </w:rPr>
      </w:pPr>
      <w:r>
        <w:rPr>
          <w:rFonts w:ascii="微软雅黑" w:eastAsia="微软雅黑" w:hAnsi="微软雅黑" w:cs="微软雅黑" w:hint="eastAsia"/>
          <w:sz w:val="20"/>
          <w:szCs w:val="20"/>
        </w:rPr>
        <w:t>R</w:t>
      </w:r>
      <w:r>
        <w:rPr>
          <w:rFonts w:ascii="微软雅黑" w:eastAsia="微软雅黑" w:hAnsi="微软雅黑" w:cs="微软雅黑" w:hint="eastAsia"/>
          <w:sz w:val="20"/>
          <w:szCs w:val="20"/>
          <w:vertAlign w:val="subscript"/>
        </w:rPr>
        <w:t>片区地价</w:t>
      </w:r>
      <w:r>
        <w:rPr>
          <w:rFonts w:ascii="微软雅黑" w:eastAsia="微软雅黑" w:hAnsi="微软雅黑" w:cs="微软雅黑" w:hint="eastAsia"/>
          <w:sz w:val="20"/>
          <w:szCs w:val="20"/>
        </w:rPr>
        <w:t xml:space="preserve"> = 建设用地贡献率 × R</w:t>
      </w:r>
      <w:r>
        <w:rPr>
          <w:rFonts w:ascii="微软雅黑" w:eastAsia="微软雅黑" w:hAnsi="微软雅黑" w:cs="微软雅黑" w:hint="eastAsia"/>
          <w:sz w:val="20"/>
          <w:szCs w:val="20"/>
          <w:vertAlign w:val="subscript"/>
        </w:rPr>
        <w:t>片区基准</w:t>
      </w:r>
    </w:p>
    <w:p w:rsidR="006808DB" w:rsidRDefault="005C778F">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留用土地规划为工业用地的，R</w:t>
      </w:r>
      <w:r>
        <w:rPr>
          <w:rFonts w:ascii="微软雅黑" w:eastAsia="微软雅黑" w:hAnsi="微软雅黑" w:cs="微软雅黑" w:hint="eastAsia"/>
          <w:sz w:val="20"/>
          <w:szCs w:val="20"/>
          <w:vertAlign w:val="subscript"/>
        </w:rPr>
        <w:t>片区基准</w:t>
      </w:r>
      <w:r>
        <w:rPr>
          <w:rFonts w:ascii="微软雅黑" w:eastAsia="微软雅黑" w:hAnsi="微软雅黑" w:cs="微软雅黑" w:hint="eastAsia"/>
          <w:sz w:val="20"/>
          <w:szCs w:val="20"/>
        </w:rPr>
        <w:t>取2.0；留用土地规划为居住用地、商业服务业用地的，R</w:t>
      </w:r>
      <w:r>
        <w:rPr>
          <w:rFonts w:ascii="微软雅黑" w:eastAsia="微软雅黑" w:hAnsi="微软雅黑" w:cs="微软雅黑" w:hint="eastAsia"/>
          <w:sz w:val="20"/>
          <w:szCs w:val="20"/>
          <w:vertAlign w:val="subscript"/>
        </w:rPr>
        <w:t>片区基准</w:t>
      </w:r>
      <w:r>
        <w:rPr>
          <w:rFonts w:ascii="微软雅黑" w:eastAsia="微软雅黑" w:hAnsi="微软雅黑" w:cs="微软雅黑" w:hint="eastAsia"/>
          <w:sz w:val="20"/>
          <w:szCs w:val="20"/>
        </w:rPr>
        <w:t>取3.2。</w:t>
      </w:r>
    </w:p>
    <w:p w:rsidR="006808DB" w:rsidRDefault="005C778F">
      <w:pPr>
        <w:spacing w:line="520" w:lineRule="exact"/>
        <w:ind w:firstLineChars="200" w:firstLine="400"/>
        <w:jc w:val="center"/>
        <w:rPr>
          <w:rFonts w:ascii="微软雅黑" w:eastAsia="微软雅黑" w:hAnsi="微软雅黑" w:cs="微软雅黑"/>
          <w:sz w:val="20"/>
          <w:szCs w:val="20"/>
        </w:rPr>
      </w:pPr>
      <w:r>
        <w:rPr>
          <w:rFonts w:ascii="微软雅黑" w:eastAsia="微软雅黑" w:hAnsi="微软雅黑" w:cs="微软雅黑" w:hint="eastAsia"/>
          <w:sz w:val="20"/>
          <w:szCs w:val="20"/>
        </w:rPr>
        <w:t>片区统筹整备留用土地地价计收标准</w:t>
      </w:r>
    </w:p>
    <w:tbl>
      <w:tblPr>
        <w:tblW w:w="8410"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733"/>
        <w:gridCol w:w="1843"/>
        <w:gridCol w:w="1984"/>
      </w:tblGrid>
      <w:tr w:rsidR="006808DB">
        <w:trPr>
          <w:trHeight w:val="355"/>
          <w:jc w:val="center"/>
        </w:trPr>
        <w:tc>
          <w:tcPr>
            <w:tcW w:w="2850" w:type="dxa"/>
            <w:vMerge w:val="restart"/>
            <w:vAlign w:val="center"/>
          </w:tcPr>
          <w:p w:rsidR="006808DB" w:rsidRDefault="005C778F">
            <w:pPr>
              <w:spacing w:line="520" w:lineRule="exact"/>
              <w:ind w:firstLineChars="200" w:firstLine="400"/>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t>留用土地容积率分段</w:t>
            </w:r>
          </w:p>
        </w:tc>
        <w:tc>
          <w:tcPr>
            <w:tcW w:w="5560" w:type="dxa"/>
            <w:gridSpan w:val="3"/>
            <w:vAlign w:val="center"/>
          </w:tcPr>
          <w:p w:rsidR="006808DB" w:rsidRDefault="005C778F">
            <w:pPr>
              <w:widowControl/>
              <w:spacing w:line="520" w:lineRule="exact"/>
              <w:ind w:firstLineChars="200" w:firstLine="400"/>
              <w:jc w:val="center"/>
              <w:rPr>
                <w:rFonts w:ascii="微软雅黑" w:eastAsia="微软雅黑" w:hAnsi="微软雅黑" w:cs="微软雅黑"/>
                <w:b/>
                <w:kern w:val="0"/>
                <w:sz w:val="20"/>
                <w:szCs w:val="20"/>
              </w:rPr>
            </w:pPr>
            <w:r>
              <w:rPr>
                <w:rFonts w:ascii="微软雅黑" w:eastAsia="微软雅黑" w:hAnsi="微软雅黑" w:cs="微软雅黑" w:hint="eastAsia"/>
                <w:b/>
                <w:sz w:val="20"/>
                <w:szCs w:val="20"/>
              </w:rPr>
              <w:t>留用土地规划用途</w:t>
            </w:r>
          </w:p>
        </w:tc>
      </w:tr>
      <w:tr w:rsidR="006808DB">
        <w:trPr>
          <w:trHeight w:val="287"/>
          <w:jc w:val="center"/>
        </w:trPr>
        <w:tc>
          <w:tcPr>
            <w:tcW w:w="2850" w:type="dxa"/>
            <w:vMerge/>
            <w:vAlign w:val="center"/>
          </w:tcPr>
          <w:p w:rsidR="006808DB" w:rsidRDefault="006808DB">
            <w:pPr>
              <w:spacing w:line="520" w:lineRule="exact"/>
              <w:ind w:firstLineChars="200" w:firstLine="400"/>
              <w:jc w:val="center"/>
              <w:rPr>
                <w:rFonts w:ascii="微软雅黑" w:eastAsia="微软雅黑" w:hAnsi="微软雅黑" w:cs="微软雅黑"/>
                <w:b/>
                <w:sz w:val="20"/>
                <w:szCs w:val="20"/>
              </w:rPr>
            </w:pPr>
          </w:p>
        </w:tc>
        <w:tc>
          <w:tcPr>
            <w:tcW w:w="1733" w:type="dxa"/>
            <w:vAlign w:val="center"/>
          </w:tcPr>
          <w:p w:rsidR="006808DB" w:rsidRDefault="005C778F">
            <w:pPr>
              <w:widowControl/>
              <w:spacing w:line="520" w:lineRule="exact"/>
              <w:ind w:firstLineChars="200" w:firstLine="400"/>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t>工业用地</w:t>
            </w:r>
          </w:p>
        </w:tc>
        <w:tc>
          <w:tcPr>
            <w:tcW w:w="1843" w:type="dxa"/>
            <w:vAlign w:val="center"/>
          </w:tcPr>
          <w:p w:rsidR="006808DB" w:rsidRDefault="005C778F">
            <w:pPr>
              <w:widowControl/>
              <w:spacing w:line="520" w:lineRule="exact"/>
              <w:ind w:firstLineChars="200" w:firstLine="400"/>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t>居住用地</w:t>
            </w:r>
          </w:p>
        </w:tc>
        <w:tc>
          <w:tcPr>
            <w:tcW w:w="1984" w:type="dxa"/>
            <w:vAlign w:val="center"/>
          </w:tcPr>
          <w:p w:rsidR="006808DB" w:rsidRDefault="005C778F">
            <w:pPr>
              <w:widowControl/>
              <w:spacing w:line="520" w:lineRule="exact"/>
              <w:ind w:firstLineChars="200" w:firstLine="400"/>
              <w:jc w:val="center"/>
              <w:rPr>
                <w:rFonts w:ascii="微软雅黑" w:eastAsia="微软雅黑" w:hAnsi="微软雅黑" w:cs="微软雅黑"/>
                <w:b/>
                <w:kern w:val="0"/>
                <w:sz w:val="20"/>
                <w:szCs w:val="20"/>
              </w:rPr>
            </w:pPr>
            <w:r>
              <w:rPr>
                <w:rFonts w:ascii="微软雅黑" w:eastAsia="微软雅黑" w:hAnsi="微软雅黑" w:cs="微软雅黑" w:hint="eastAsia"/>
                <w:b/>
                <w:sz w:val="20"/>
                <w:szCs w:val="20"/>
              </w:rPr>
              <w:t>商业服务业用地</w:t>
            </w:r>
          </w:p>
        </w:tc>
      </w:tr>
      <w:tr w:rsidR="006808DB">
        <w:trPr>
          <w:trHeight w:val="607"/>
          <w:jc w:val="center"/>
        </w:trPr>
        <w:tc>
          <w:tcPr>
            <w:tcW w:w="2850" w:type="dxa"/>
            <w:vAlign w:val="center"/>
          </w:tcPr>
          <w:p w:rsidR="006808DB" w:rsidRDefault="005C778F">
            <w:pPr>
              <w:widowControl/>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小于R</w:t>
            </w:r>
            <w:r>
              <w:rPr>
                <w:rFonts w:ascii="微软雅黑" w:eastAsia="微软雅黑" w:hAnsi="微软雅黑" w:cs="微软雅黑" w:hint="eastAsia"/>
                <w:sz w:val="20"/>
                <w:szCs w:val="20"/>
                <w:vertAlign w:val="subscript"/>
              </w:rPr>
              <w:t>片区地价</w:t>
            </w:r>
            <w:r>
              <w:rPr>
                <w:rFonts w:ascii="微软雅黑" w:eastAsia="微软雅黑" w:hAnsi="微软雅黑" w:cs="微软雅黑" w:hint="eastAsia"/>
                <w:sz w:val="20"/>
                <w:szCs w:val="20"/>
              </w:rPr>
              <w:t>(含)的部分</w:t>
            </w:r>
          </w:p>
        </w:tc>
        <w:tc>
          <w:tcPr>
            <w:tcW w:w="1733" w:type="dxa"/>
            <w:vAlign w:val="center"/>
          </w:tcPr>
          <w:p w:rsidR="006808DB" w:rsidRDefault="005C778F">
            <w:pPr>
              <w:widowControl/>
              <w:spacing w:line="520" w:lineRule="exact"/>
              <w:ind w:firstLineChars="200" w:firstLine="400"/>
              <w:jc w:val="center"/>
              <w:rPr>
                <w:rFonts w:ascii="微软雅黑" w:eastAsia="微软雅黑" w:hAnsi="微软雅黑" w:cs="微软雅黑"/>
                <w:sz w:val="20"/>
                <w:szCs w:val="20"/>
              </w:rPr>
            </w:pPr>
            <w:r>
              <w:rPr>
                <w:rFonts w:ascii="微软雅黑" w:eastAsia="微软雅黑" w:hAnsi="微软雅黑" w:cs="微软雅黑" w:hint="eastAsia"/>
                <w:sz w:val="20"/>
                <w:szCs w:val="20"/>
              </w:rPr>
              <w:t>50%×公告基准地价</w:t>
            </w:r>
          </w:p>
        </w:tc>
        <w:tc>
          <w:tcPr>
            <w:tcW w:w="3827" w:type="dxa"/>
            <w:gridSpan w:val="2"/>
            <w:vAlign w:val="center"/>
          </w:tcPr>
          <w:p w:rsidR="006808DB" w:rsidRDefault="005C778F">
            <w:pPr>
              <w:widowControl/>
              <w:spacing w:line="520" w:lineRule="exact"/>
              <w:ind w:firstLineChars="200" w:firstLine="400"/>
              <w:jc w:val="center"/>
              <w:rPr>
                <w:rFonts w:ascii="微软雅黑" w:eastAsia="微软雅黑" w:hAnsi="微软雅黑" w:cs="微软雅黑"/>
                <w:sz w:val="20"/>
                <w:szCs w:val="20"/>
              </w:rPr>
            </w:pPr>
            <w:r>
              <w:rPr>
                <w:rFonts w:ascii="微软雅黑" w:eastAsia="微软雅黑" w:hAnsi="微软雅黑" w:cs="微软雅黑" w:hint="eastAsia"/>
                <w:sz w:val="20"/>
                <w:szCs w:val="20"/>
              </w:rPr>
              <w:t>公告基准地价</w:t>
            </w:r>
          </w:p>
        </w:tc>
      </w:tr>
      <w:tr w:rsidR="006808DB">
        <w:trPr>
          <w:trHeight w:val="686"/>
          <w:jc w:val="center"/>
        </w:trPr>
        <w:tc>
          <w:tcPr>
            <w:tcW w:w="2850" w:type="dxa"/>
            <w:vAlign w:val="center"/>
          </w:tcPr>
          <w:p w:rsidR="006808DB" w:rsidRDefault="005C778F">
            <w:pPr>
              <w:widowControl/>
              <w:spacing w:line="520" w:lineRule="exact"/>
              <w:ind w:firstLineChars="200" w:firstLine="400"/>
              <w:jc w:val="center"/>
              <w:rPr>
                <w:rFonts w:ascii="微软雅黑" w:eastAsia="微软雅黑" w:hAnsi="微软雅黑" w:cs="微软雅黑"/>
                <w:sz w:val="20"/>
                <w:szCs w:val="20"/>
              </w:rPr>
            </w:pPr>
            <w:r>
              <w:rPr>
                <w:rFonts w:ascii="微软雅黑" w:eastAsia="微软雅黑" w:hAnsi="微软雅黑" w:cs="微软雅黑" w:hint="eastAsia"/>
                <w:sz w:val="20"/>
                <w:szCs w:val="20"/>
              </w:rPr>
              <w:t>介于R</w:t>
            </w:r>
            <w:r>
              <w:rPr>
                <w:rFonts w:ascii="微软雅黑" w:eastAsia="微软雅黑" w:hAnsi="微软雅黑" w:cs="微软雅黑" w:hint="eastAsia"/>
                <w:sz w:val="20"/>
                <w:szCs w:val="20"/>
                <w:vertAlign w:val="subscript"/>
              </w:rPr>
              <w:t>片区地价</w:t>
            </w:r>
            <w:r>
              <w:rPr>
                <w:rFonts w:ascii="微软雅黑" w:eastAsia="微软雅黑" w:hAnsi="微软雅黑" w:cs="微软雅黑" w:hint="eastAsia"/>
                <w:sz w:val="20"/>
                <w:szCs w:val="20"/>
              </w:rPr>
              <w:t>及R</w:t>
            </w:r>
            <w:r>
              <w:rPr>
                <w:rFonts w:ascii="微软雅黑" w:eastAsia="微软雅黑" w:hAnsi="微软雅黑" w:cs="微软雅黑" w:hint="eastAsia"/>
                <w:sz w:val="20"/>
                <w:szCs w:val="20"/>
                <w:vertAlign w:val="subscript"/>
              </w:rPr>
              <w:t>片区基准</w:t>
            </w:r>
            <w:r>
              <w:rPr>
                <w:rFonts w:ascii="微软雅黑" w:eastAsia="微软雅黑" w:hAnsi="微软雅黑" w:cs="微软雅黑" w:hint="eastAsia"/>
                <w:sz w:val="20"/>
                <w:szCs w:val="20"/>
              </w:rPr>
              <w:t>(含)之间的部分</w:t>
            </w:r>
          </w:p>
        </w:tc>
        <w:tc>
          <w:tcPr>
            <w:tcW w:w="1733" w:type="dxa"/>
            <w:vMerge w:val="restart"/>
            <w:vAlign w:val="center"/>
          </w:tcPr>
          <w:p w:rsidR="006808DB" w:rsidRDefault="005C778F">
            <w:pPr>
              <w:widowControl/>
              <w:spacing w:line="520" w:lineRule="exact"/>
              <w:ind w:firstLineChars="200" w:firstLine="400"/>
              <w:jc w:val="center"/>
              <w:rPr>
                <w:rFonts w:ascii="微软雅黑" w:eastAsia="微软雅黑" w:hAnsi="微软雅黑" w:cs="微软雅黑"/>
                <w:sz w:val="20"/>
                <w:szCs w:val="20"/>
              </w:rPr>
            </w:pPr>
            <w:r>
              <w:rPr>
                <w:rFonts w:ascii="微软雅黑" w:eastAsia="微软雅黑" w:hAnsi="微软雅黑" w:cs="微软雅黑" w:hint="eastAsia"/>
                <w:sz w:val="20"/>
                <w:szCs w:val="20"/>
              </w:rPr>
              <w:t>公告基准地价</w:t>
            </w:r>
          </w:p>
        </w:tc>
        <w:tc>
          <w:tcPr>
            <w:tcW w:w="1843" w:type="dxa"/>
            <w:vAlign w:val="center"/>
          </w:tcPr>
          <w:p w:rsidR="006808DB" w:rsidRDefault="005C778F">
            <w:pPr>
              <w:widowControl/>
              <w:spacing w:line="520" w:lineRule="exact"/>
              <w:ind w:firstLineChars="200" w:firstLine="400"/>
              <w:jc w:val="center"/>
              <w:rPr>
                <w:rFonts w:ascii="微软雅黑" w:eastAsia="微软雅黑" w:hAnsi="微软雅黑" w:cs="微软雅黑"/>
                <w:sz w:val="20"/>
                <w:szCs w:val="20"/>
              </w:rPr>
            </w:pPr>
            <w:r>
              <w:rPr>
                <w:rFonts w:ascii="微软雅黑" w:eastAsia="微软雅黑" w:hAnsi="微软雅黑" w:cs="微软雅黑" w:hint="eastAsia"/>
                <w:sz w:val="20"/>
                <w:szCs w:val="20"/>
              </w:rPr>
              <w:t>250%×公告基准地价</w:t>
            </w:r>
          </w:p>
        </w:tc>
        <w:tc>
          <w:tcPr>
            <w:tcW w:w="1984" w:type="dxa"/>
            <w:vAlign w:val="center"/>
          </w:tcPr>
          <w:p w:rsidR="006808DB" w:rsidRDefault="005C778F">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sz w:val="20"/>
                <w:szCs w:val="20"/>
              </w:rPr>
              <w:t>200%×公告基准地价</w:t>
            </w:r>
          </w:p>
        </w:tc>
      </w:tr>
      <w:tr w:rsidR="006808DB">
        <w:trPr>
          <w:trHeight w:val="752"/>
          <w:jc w:val="center"/>
        </w:trPr>
        <w:tc>
          <w:tcPr>
            <w:tcW w:w="2850" w:type="dxa"/>
            <w:vAlign w:val="center"/>
          </w:tcPr>
          <w:p w:rsidR="006808DB" w:rsidRDefault="005C778F">
            <w:pPr>
              <w:widowControl/>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大于R</w:t>
            </w:r>
            <w:r>
              <w:rPr>
                <w:rFonts w:ascii="微软雅黑" w:eastAsia="微软雅黑" w:hAnsi="微软雅黑" w:cs="微软雅黑" w:hint="eastAsia"/>
                <w:sz w:val="20"/>
                <w:szCs w:val="20"/>
                <w:vertAlign w:val="subscript"/>
              </w:rPr>
              <w:t>片区基准</w:t>
            </w:r>
            <w:r>
              <w:rPr>
                <w:rFonts w:ascii="微软雅黑" w:eastAsia="微软雅黑" w:hAnsi="微软雅黑" w:cs="微软雅黑" w:hint="eastAsia"/>
                <w:sz w:val="20"/>
                <w:szCs w:val="20"/>
              </w:rPr>
              <w:t>的部分</w:t>
            </w:r>
          </w:p>
        </w:tc>
        <w:tc>
          <w:tcPr>
            <w:tcW w:w="1733" w:type="dxa"/>
            <w:vMerge/>
            <w:vAlign w:val="center"/>
          </w:tcPr>
          <w:p w:rsidR="006808DB" w:rsidRDefault="006808DB">
            <w:pPr>
              <w:widowControl/>
              <w:spacing w:line="520" w:lineRule="exact"/>
              <w:ind w:firstLineChars="200" w:firstLine="400"/>
              <w:jc w:val="center"/>
              <w:rPr>
                <w:rFonts w:ascii="微软雅黑" w:eastAsia="微软雅黑" w:hAnsi="微软雅黑" w:cs="微软雅黑"/>
                <w:sz w:val="20"/>
                <w:szCs w:val="20"/>
              </w:rPr>
            </w:pPr>
          </w:p>
        </w:tc>
        <w:tc>
          <w:tcPr>
            <w:tcW w:w="3827" w:type="dxa"/>
            <w:gridSpan w:val="2"/>
            <w:vAlign w:val="center"/>
          </w:tcPr>
          <w:p w:rsidR="006808DB" w:rsidRDefault="005C778F">
            <w:pPr>
              <w:widowControl/>
              <w:spacing w:line="520" w:lineRule="exact"/>
              <w:ind w:firstLineChars="200" w:firstLine="400"/>
              <w:jc w:val="center"/>
              <w:rPr>
                <w:rFonts w:ascii="微软雅黑" w:eastAsia="微软雅黑" w:hAnsi="微软雅黑" w:cs="微软雅黑"/>
                <w:sz w:val="20"/>
                <w:szCs w:val="20"/>
              </w:rPr>
            </w:pPr>
            <w:r>
              <w:rPr>
                <w:rFonts w:ascii="微软雅黑" w:eastAsia="微软雅黑" w:hAnsi="微软雅黑" w:cs="微软雅黑" w:hint="eastAsia"/>
                <w:sz w:val="20"/>
                <w:szCs w:val="20"/>
              </w:rPr>
              <w:t>市场评估地价</w:t>
            </w:r>
          </w:p>
        </w:tc>
      </w:tr>
    </w:tbl>
    <w:p w:rsidR="006808DB" w:rsidRDefault="006808DB">
      <w:pPr>
        <w:spacing w:line="520" w:lineRule="exact"/>
        <w:ind w:firstLineChars="200" w:firstLine="400"/>
        <w:rPr>
          <w:rFonts w:ascii="微软雅黑" w:eastAsia="微软雅黑" w:hAnsi="微软雅黑" w:cs="微软雅黑"/>
          <w:sz w:val="20"/>
          <w:szCs w:val="20"/>
        </w:rPr>
      </w:pPr>
    </w:p>
    <w:sectPr w:rsidR="006808DB" w:rsidSect="000B02DC">
      <w:headerReference w:type="default" r:id="rId8"/>
      <w:footerReference w:type="default" r:id="rId9"/>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61" w:rsidRDefault="00B22561">
      <w:r>
        <w:separator/>
      </w:r>
    </w:p>
  </w:endnote>
  <w:endnote w:type="continuationSeparator" w:id="0">
    <w:p w:rsidR="00B22561" w:rsidRDefault="00B2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DB" w:rsidRDefault="006808DB">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61" w:rsidRDefault="00B22561">
      <w:r>
        <w:separator/>
      </w:r>
    </w:p>
  </w:footnote>
  <w:footnote w:type="continuationSeparator" w:id="0">
    <w:p w:rsidR="00B22561" w:rsidRDefault="00B22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DC" w:rsidRDefault="000B02DC" w:rsidP="000B02DC">
    <w:r>
      <w:rPr>
        <w:noProof/>
      </w:rPr>
      <w:drawing>
        <wp:inline distT="0" distB="0" distL="0" distR="0" wp14:anchorId="7F30FD9A" wp14:editId="157E0C83">
          <wp:extent cx="558165" cy="344170"/>
          <wp:effectExtent l="0" t="0" r="0"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58165" cy="34417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第三篇-城市更新各专题相关规定</w:t>
    </w:r>
  </w:p>
  <w:p w:rsidR="006808DB" w:rsidRPr="000B02DC" w:rsidRDefault="006808DB" w:rsidP="000B02D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16C94"/>
    <w:rsid w:val="000B02DC"/>
    <w:rsid w:val="001F6858"/>
    <w:rsid w:val="00205528"/>
    <w:rsid w:val="002E25DF"/>
    <w:rsid w:val="004D446B"/>
    <w:rsid w:val="004F0663"/>
    <w:rsid w:val="005C778F"/>
    <w:rsid w:val="006808DB"/>
    <w:rsid w:val="008949AD"/>
    <w:rsid w:val="00AF7CCE"/>
    <w:rsid w:val="00B22561"/>
    <w:rsid w:val="16AA6E99"/>
    <w:rsid w:val="222B4591"/>
    <w:rsid w:val="2574617D"/>
    <w:rsid w:val="2E0028AA"/>
    <w:rsid w:val="33FD55B5"/>
    <w:rsid w:val="40A16C94"/>
    <w:rsid w:val="44134D53"/>
    <w:rsid w:val="4894368C"/>
    <w:rsid w:val="4D7F325D"/>
    <w:rsid w:val="518A1BB4"/>
    <w:rsid w:val="578838A5"/>
    <w:rsid w:val="5A315F76"/>
    <w:rsid w:val="5C911D75"/>
    <w:rsid w:val="620420B5"/>
    <w:rsid w:val="6B5B62D6"/>
    <w:rsid w:val="6D6D426D"/>
    <w:rsid w:val="714679F0"/>
    <w:rsid w:val="75975E42"/>
    <w:rsid w:val="786845F1"/>
    <w:rsid w:val="7AC40F88"/>
    <w:rsid w:val="7C0E777F"/>
    <w:rsid w:val="7D602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page number"/>
    <w:qFormat/>
    <w:rPr>
      <w:rFonts w:cs="Times New Roman"/>
    </w:rPr>
  </w:style>
  <w:style w:type="paragraph" w:styleId="a8">
    <w:name w:val="List Paragraph"/>
    <w:basedOn w:val="a"/>
    <w:uiPriority w:val="34"/>
    <w:qFormat/>
    <w:pPr>
      <w:ind w:firstLineChars="200" w:firstLine="420"/>
    </w:pPr>
  </w:style>
  <w:style w:type="paragraph" w:styleId="a9">
    <w:name w:val="Balloon Text"/>
    <w:basedOn w:val="a"/>
    <w:link w:val="Char"/>
    <w:rsid w:val="00AF7CCE"/>
    <w:rPr>
      <w:sz w:val="18"/>
      <w:szCs w:val="18"/>
    </w:rPr>
  </w:style>
  <w:style w:type="character" w:customStyle="1" w:styleId="Char">
    <w:name w:val="批注框文本 Char"/>
    <w:basedOn w:val="a0"/>
    <w:link w:val="a9"/>
    <w:rsid w:val="00AF7CC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page number"/>
    <w:qFormat/>
    <w:rPr>
      <w:rFonts w:cs="Times New Roman"/>
    </w:rPr>
  </w:style>
  <w:style w:type="paragraph" w:styleId="a8">
    <w:name w:val="List Paragraph"/>
    <w:basedOn w:val="a"/>
    <w:uiPriority w:val="34"/>
    <w:qFormat/>
    <w:pPr>
      <w:ind w:firstLineChars="200" w:firstLine="420"/>
    </w:pPr>
  </w:style>
  <w:style w:type="paragraph" w:styleId="a9">
    <w:name w:val="Balloon Text"/>
    <w:basedOn w:val="a"/>
    <w:link w:val="Char"/>
    <w:rsid w:val="00AF7CCE"/>
    <w:rPr>
      <w:sz w:val="18"/>
      <w:szCs w:val="18"/>
    </w:rPr>
  </w:style>
  <w:style w:type="character" w:customStyle="1" w:styleId="Char">
    <w:name w:val="批注框文本 Char"/>
    <w:basedOn w:val="a0"/>
    <w:link w:val="a9"/>
    <w:rsid w:val="00AF7CC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706</Words>
  <Characters>4027</Characters>
  <Application>Microsoft Office Word</Application>
  <DocSecurity>0</DocSecurity>
  <Lines>33</Lines>
  <Paragraphs>9</Paragraphs>
  <ScaleCrop>false</ScaleCrop>
  <Company>Microsoft</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6</cp:revision>
  <dcterms:created xsi:type="dcterms:W3CDTF">2018-08-14T09:18:00Z</dcterms:created>
  <dcterms:modified xsi:type="dcterms:W3CDTF">2018-08-16T07:04:00Z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