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445" w:rsidRPr="009C5125" w:rsidRDefault="005B2445" w:rsidP="005B2445">
      <w:pPr>
        <w:spacing w:line="520" w:lineRule="exact"/>
        <w:jc w:val="center"/>
        <w:rPr>
          <w:rFonts w:ascii="微软雅黑" w:eastAsia="微软雅黑" w:hAnsi="微软雅黑"/>
          <w:b/>
          <w:sz w:val="24"/>
        </w:rPr>
      </w:pPr>
      <w:bookmarkStart w:id="0" w:name="_GoBack"/>
      <w:bookmarkEnd w:id="0"/>
      <w:r w:rsidRPr="009C5125">
        <w:rPr>
          <w:rFonts w:ascii="微软雅黑" w:eastAsia="微软雅黑" w:hAnsi="微软雅黑"/>
          <w:b/>
          <w:sz w:val="24"/>
        </w:rPr>
        <w:t>深圳市福田区城市更新局关于进一步推动福田区城市更新工作的若干意见</w:t>
      </w:r>
    </w:p>
    <w:p w:rsidR="005B2445" w:rsidRPr="009C5125" w:rsidRDefault="005B2445" w:rsidP="005B2445">
      <w:pPr>
        <w:spacing w:line="520" w:lineRule="exact"/>
        <w:rPr>
          <w:rFonts w:ascii="微软雅黑" w:eastAsia="微软雅黑" w:hAnsi="微软雅黑"/>
          <w:sz w:val="20"/>
          <w:szCs w:val="20"/>
        </w:rPr>
      </w:pPr>
      <w:r w:rsidRPr="009C5125">
        <w:rPr>
          <w:rFonts w:ascii="微软雅黑" w:eastAsia="微软雅黑" w:hAnsi="微软雅黑"/>
          <w:sz w:val="20"/>
          <w:szCs w:val="20"/>
        </w:rPr>
        <w:t xml:space="preserve">　　为深入贯彻落实城市更新“强区放权”改革要求，确保城市更新工作有序推进，进一步推动福田区内城市更新项目进展，努力消除更新单元计划范围内可能存在的安全隐患，依照《深圳市城市更新办法》（深圳市人民政府令第290号）、《深圳市城市更新办法实施细则》（深府〔2012〕1号）、《关于加强和改进城市更新实施工作的暂行措施》（深府办〔2016〕38号）（以下简称《暂行措施》）等相关政策规定，结合我区实际，现提出如下意见： </w:t>
      </w:r>
    </w:p>
    <w:p w:rsidR="005B2445" w:rsidRPr="009C5125" w:rsidRDefault="005B2445" w:rsidP="005B2445">
      <w:pPr>
        <w:spacing w:line="520" w:lineRule="exact"/>
        <w:rPr>
          <w:rFonts w:ascii="微软雅黑" w:eastAsia="微软雅黑" w:hAnsi="微软雅黑"/>
          <w:b/>
          <w:sz w:val="20"/>
          <w:szCs w:val="20"/>
        </w:rPr>
      </w:pPr>
      <w:r w:rsidRPr="009C5125">
        <w:rPr>
          <w:rFonts w:ascii="微软雅黑" w:eastAsia="微软雅黑" w:hAnsi="微软雅黑"/>
          <w:b/>
          <w:sz w:val="20"/>
          <w:szCs w:val="20"/>
        </w:rPr>
        <w:t xml:space="preserve">　　一、加强城市更新单元计划的管理 </w:t>
      </w:r>
    </w:p>
    <w:p w:rsidR="005B2445" w:rsidRPr="009C5125" w:rsidRDefault="005B2445" w:rsidP="005B2445">
      <w:pPr>
        <w:spacing w:line="520" w:lineRule="exact"/>
        <w:rPr>
          <w:rFonts w:ascii="微软雅黑" w:eastAsia="微软雅黑" w:hAnsi="微软雅黑"/>
          <w:sz w:val="20"/>
          <w:szCs w:val="20"/>
        </w:rPr>
      </w:pPr>
      <w:r w:rsidRPr="009C5125">
        <w:rPr>
          <w:rFonts w:ascii="微软雅黑" w:eastAsia="微软雅黑" w:hAnsi="微软雅黑"/>
          <w:sz w:val="20"/>
          <w:szCs w:val="20"/>
        </w:rPr>
        <w:t xml:space="preserve">　　（一）【优先推进】坚持统筹管理、有序开发，城市更新单元计划符合以下条件之一的，在更新单元计划申报、规划审批及项目实施中予以优先推进： </w:t>
      </w:r>
    </w:p>
    <w:p w:rsidR="005B2445" w:rsidRPr="009C5125" w:rsidRDefault="005B2445" w:rsidP="005B2445">
      <w:pPr>
        <w:spacing w:line="520" w:lineRule="exact"/>
        <w:rPr>
          <w:rFonts w:ascii="微软雅黑" w:eastAsia="微软雅黑" w:hAnsi="微软雅黑"/>
          <w:sz w:val="20"/>
          <w:szCs w:val="20"/>
        </w:rPr>
      </w:pPr>
      <w:r w:rsidRPr="009C5125">
        <w:rPr>
          <w:rFonts w:ascii="微软雅黑" w:eastAsia="微软雅黑" w:hAnsi="微软雅黑"/>
          <w:sz w:val="20"/>
          <w:szCs w:val="20"/>
        </w:rPr>
        <w:t xml:space="preserve">　　1、为落实政府近期急需建设的学校、医院、轨道交通、次干道以上道路、河道整治等公共服务设施和基础设施，在纳入更新计划前启动并完成公共利益用地上房屋收购及搬迁补偿工作的项目； </w:t>
      </w:r>
    </w:p>
    <w:p w:rsidR="005B2445" w:rsidRPr="009C5125" w:rsidRDefault="005B2445" w:rsidP="005B2445">
      <w:pPr>
        <w:spacing w:line="520" w:lineRule="exact"/>
        <w:rPr>
          <w:rFonts w:ascii="微软雅黑" w:eastAsia="微软雅黑" w:hAnsi="微软雅黑"/>
          <w:sz w:val="20"/>
          <w:szCs w:val="20"/>
        </w:rPr>
      </w:pPr>
      <w:r w:rsidRPr="009C5125">
        <w:rPr>
          <w:rFonts w:ascii="微软雅黑" w:eastAsia="微软雅黑" w:hAnsi="微软雅黑"/>
          <w:sz w:val="20"/>
          <w:szCs w:val="20"/>
        </w:rPr>
        <w:t xml:space="preserve">　　2、落实医疗、教育、养老、交通等重大公共设施建设且土地移交率在35%以上，在纳入更新计划前启动并承诺在政府规定时间内完成公共利益用地上房屋收购及搬迁补偿工作的项目； </w:t>
      </w:r>
    </w:p>
    <w:p w:rsidR="005B2445" w:rsidRPr="009C5125" w:rsidRDefault="005B2445" w:rsidP="005B2445">
      <w:pPr>
        <w:spacing w:line="520" w:lineRule="exact"/>
        <w:rPr>
          <w:rFonts w:ascii="微软雅黑" w:eastAsia="微软雅黑" w:hAnsi="微软雅黑"/>
          <w:sz w:val="20"/>
          <w:szCs w:val="20"/>
        </w:rPr>
      </w:pPr>
      <w:r w:rsidRPr="009C5125">
        <w:rPr>
          <w:rFonts w:ascii="微软雅黑" w:eastAsia="微软雅黑" w:hAnsi="微软雅黑"/>
          <w:sz w:val="20"/>
          <w:szCs w:val="20"/>
        </w:rPr>
        <w:t xml:space="preserve">　　3、有助于消除危险边坡、地陷等地质灾害及经常性水浸、严重消防隐患、危房集中等安全隐患区域的项目； </w:t>
      </w:r>
    </w:p>
    <w:p w:rsidR="005B2445" w:rsidRPr="009C5125" w:rsidRDefault="005B2445" w:rsidP="005B2445">
      <w:pPr>
        <w:spacing w:line="520" w:lineRule="exact"/>
        <w:rPr>
          <w:rFonts w:ascii="微软雅黑" w:eastAsia="微软雅黑" w:hAnsi="微软雅黑"/>
          <w:sz w:val="20"/>
          <w:szCs w:val="20"/>
        </w:rPr>
      </w:pPr>
      <w:r w:rsidRPr="009C5125">
        <w:rPr>
          <w:rFonts w:ascii="微软雅黑" w:eastAsia="微软雅黑" w:hAnsi="微软雅黑"/>
          <w:sz w:val="20"/>
          <w:szCs w:val="20"/>
        </w:rPr>
        <w:t xml:space="preserve">　　4、有助推进福田区重点产业片区转型升级，落实“深港科技创新合作区”建设的产业类项目； </w:t>
      </w:r>
    </w:p>
    <w:p w:rsidR="005B2445" w:rsidRPr="009C5125" w:rsidRDefault="005B2445" w:rsidP="005B2445">
      <w:pPr>
        <w:spacing w:line="520" w:lineRule="exact"/>
        <w:rPr>
          <w:rFonts w:ascii="微软雅黑" w:eastAsia="微软雅黑" w:hAnsi="微软雅黑"/>
          <w:sz w:val="20"/>
          <w:szCs w:val="20"/>
        </w:rPr>
      </w:pPr>
      <w:r w:rsidRPr="009C5125">
        <w:rPr>
          <w:rFonts w:ascii="微软雅黑" w:eastAsia="微软雅黑" w:hAnsi="微软雅黑"/>
          <w:sz w:val="20"/>
          <w:szCs w:val="20"/>
        </w:rPr>
        <w:t xml:space="preserve">　　5、</w:t>
      </w:r>
      <w:proofErr w:type="gramStart"/>
      <w:r w:rsidRPr="009C5125">
        <w:rPr>
          <w:rFonts w:ascii="微软雅黑" w:eastAsia="微软雅黑" w:hAnsi="微软雅黑"/>
          <w:sz w:val="20"/>
          <w:szCs w:val="20"/>
        </w:rPr>
        <w:t>除相关</w:t>
      </w:r>
      <w:proofErr w:type="gramEnd"/>
      <w:r w:rsidRPr="009C5125">
        <w:rPr>
          <w:rFonts w:ascii="微软雅黑" w:eastAsia="微软雅黑" w:hAnsi="微软雅黑"/>
          <w:sz w:val="20"/>
          <w:szCs w:val="20"/>
        </w:rPr>
        <w:t>法律、法规及政策另有规定外，在纳入更新计划前启动并完成项目拆除范围内建筑面积占总建筑面积2/3以上且权利主体数量占总数量2/3以上的房屋收购及搬迁补偿工作的非单一权利主体项目或完成全部房屋收购及搬迁补偿工作的单一权利主体项目，但旧住宅区改造项目除外。 </w:t>
      </w:r>
    </w:p>
    <w:p w:rsidR="005B2445" w:rsidRPr="009C5125" w:rsidRDefault="005B2445" w:rsidP="005B2445">
      <w:pPr>
        <w:spacing w:line="520" w:lineRule="exact"/>
        <w:rPr>
          <w:rFonts w:ascii="微软雅黑" w:eastAsia="微软雅黑" w:hAnsi="微软雅黑"/>
          <w:sz w:val="20"/>
          <w:szCs w:val="20"/>
        </w:rPr>
      </w:pPr>
      <w:r w:rsidRPr="009C5125">
        <w:rPr>
          <w:rFonts w:ascii="微软雅黑" w:eastAsia="微软雅黑" w:hAnsi="微软雅黑"/>
          <w:sz w:val="20"/>
          <w:szCs w:val="20"/>
        </w:rPr>
        <w:t xml:space="preserve">　　（二）【未列入计划的旧住宅区改造】旧住宅区改造坚持政府主导、稳定推进的原则，亟需改善居住条件的成片旧住宅区，符合棚户区改造政策的，应优先按照棚户区政策实施改造，由辖区街道办开展意愿征集等前期工作。不符合棚户区改造政策，确需通过城市更新政策实施改造的成片旧住宅区，由辖区街道办作为更新单元计划的申报主体。混合零散旧住宅区的更新单元，由非旧住宅区部分申报单位与辖区街道办联合作为更新单元计划的申报主体。 </w:t>
      </w:r>
    </w:p>
    <w:p w:rsidR="005B2445" w:rsidRPr="009C5125" w:rsidRDefault="005B2445" w:rsidP="005B2445">
      <w:pPr>
        <w:spacing w:line="520" w:lineRule="exact"/>
        <w:rPr>
          <w:rFonts w:ascii="微软雅黑" w:eastAsia="微软雅黑" w:hAnsi="微软雅黑"/>
          <w:sz w:val="20"/>
          <w:szCs w:val="20"/>
        </w:rPr>
      </w:pPr>
      <w:r w:rsidRPr="009C5125">
        <w:rPr>
          <w:rFonts w:ascii="微软雅黑" w:eastAsia="微软雅黑" w:hAnsi="微软雅黑"/>
          <w:sz w:val="20"/>
          <w:szCs w:val="20"/>
        </w:rPr>
        <w:t xml:space="preserve">　　市场主体违规进驻旧住宅区（包括与旧工业区、旧商业区、城中村及旧屋村等混杂的零散旧住宅区，下同）开展意愿征集、补偿签约等活动的，区城市更新主管部门可将违规行为记入城市更新企业信用档案，情节严重的，3年内不得在福田区参与城市更新活动。 </w:t>
      </w:r>
    </w:p>
    <w:p w:rsidR="005B2445" w:rsidRPr="009C5125" w:rsidRDefault="005B2445" w:rsidP="005B2445">
      <w:pPr>
        <w:spacing w:line="520" w:lineRule="exact"/>
        <w:rPr>
          <w:rFonts w:ascii="微软雅黑" w:eastAsia="微软雅黑" w:hAnsi="微软雅黑"/>
          <w:sz w:val="20"/>
          <w:szCs w:val="20"/>
        </w:rPr>
      </w:pPr>
      <w:r w:rsidRPr="009C5125">
        <w:rPr>
          <w:rFonts w:ascii="微软雅黑" w:eastAsia="微软雅黑" w:hAnsi="微软雅黑"/>
          <w:sz w:val="20"/>
          <w:szCs w:val="20"/>
        </w:rPr>
        <w:t xml:space="preserve">　　（三）【已列入计划的旧住宅区改造】对于已列入城市更新单元计划的旧住宅区，自本意见施行之日起3</w:t>
      </w:r>
      <w:r w:rsidRPr="009C5125">
        <w:rPr>
          <w:rFonts w:ascii="微软雅黑" w:eastAsia="微软雅黑" w:hAnsi="微软雅黑"/>
          <w:sz w:val="20"/>
          <w:szCs w:val="20"/>
        </w:rPr>
        <w:lastRenderedPageBreak/>
        <w:t>个月内，申报主体向区城市更新主管部门报送搬迁补偿谈判工作方案，明确搬迁补偿谈判工作进度，区城市更新主管部门进行重点核查，确实长期未有任何进展的，可按程序调出计划。更新单元被调出计划后，已取得的相关批复文件即时失效，自调出计划之日起3年内不得再申报更新单元计划。旧住宅区如需改造的，优先按照棚户区政策实施改造。 </w:t>
      </w:r>
    </w:p>
    <w:p w:rsidR="005B2445" w:rsidRPr="009C5125" w:rsidRDefault="005B2445" w:rsidP="005B2445">
      <w:pPr>
        <w:spacing w:line="520" w:lineRule="exact"/>
        <w:rPr>
          <w:rFonts w:ascii="微软雅黑" w:eastAsia="微软雅黑" w:hAnsi="微软雅黑"/>
          <w:sz w:val="20"/>
          <w:szCs w:val="20"/>
        </w:rPr>
      </w:pPr>
      <w:r w:rsidRPr="009C5125">
        <w:rPr>
          <w:rFonts w:ascii="微软雅黑" w:eastAsia="微软雅黑" w:hAnsi="微软雅黑"/>
          <w:sz w:val="20"/>
          <w:szCs w:val="20"/>
        </w:rPr>
        <w:t xml:space="preserve">　　（四）【更新意愿征集】本意见施行后，城市更新单元计划申报主体在进行意愿征集时，建议并鼓励在更新意愿证明文件中明确搬迁人、房屋搬迁补偿方式、补偿标准。在更新意愿证明文件中明确前述事项的更新单元，区城市更新主管部门在更新单元计划申报审批时可以加强指导，加快审批。 </w:t>
      </w:r>
    </w:p>
    <w:p w:rsidR="005B2445" w:rsidRPr="009C5125" w:rsidRDefault="005B2445" w:rsidP="005B2445">
      <w:pPr>
        <w:spacing w:line="520" w:lineRule="exact"/>
        <w:rPr>
          <w:rFonts w:ascii="微软雅黑" w:eastAsia="微软雅黑" w:hAnsi="微软雅黑"/>
          <w:sz w:val="20"/>
          <w:szCs w:val="20"/>
        </w:rPr>
      </w:pPr>
      <w:r w:rsidRPr="009C5125">
        <w:rPr>
          <w:rFonts w:ascii="微软雅黑" w:eastAsia="微软雅黑" w:hAnsi="微软雅黑"/>
          <w:sz w:val="20"/>
          <w:szCs w:val="20"/>
        </w:rPr>
        <w:t xml:space="preserve">　　（五）【更新计划清理】加强项目管理，定期开展更新计划清理。城市更新项目存在《暂行措施》第二十八条规定的三种情形或单一权利主体项目自城市更新单元规划批准或调整之日起12个月内首期未办理用地出让手续的，区城市更新主管部门可根据项目实际进展情况按程序调出计划。 </w:t>
      </w:r>
    </w:p>
    <w:p w:rsidR="005B2445" w:rsidRPr="009C5125" w:rsidRDefault="005B2445" w:rsidP="005B2445">
      <w:pPr>
        <w:spacing w:line="520" w:lineRule="exact"/>
        <w:rPr>
          <w:rFonts w:ascii="微软雅黑" w:eastAsia="微软雅黑" w:hAnsi="微软雅黑"/>
          <w:sz w:val="20"/>
          <w:szCs w:val="20"/>
        </w:rPr>
      </w:pPr>
      <w:r w:rsidRPr="009C5125">
        <w:rPr>
          <w:rFonts w:ascii="微软雅黑" w:eastAsia="微软雅黑" w:hAnsi="微软雅黑"/>
          <w:sz w:val="20"/>
          <w:szCs w:val="20"/>
        </w:rPr>
        <w:t xml:space="preserve">　　同时，本意见施行前已列入更新单元计划的城市更新项目存在以下情形的，由区城市更新主管部门进行重点核查，确实无法推进的，可按程序调出计划： </w:t>
      </w:r>
    </w:p>
    <w:p w:rsidR="005B2445" w:rsidRPr="009C5125" w:rsidRDefault="005B2445" w:rsidP="005B2445">
      <w:pPr>
        <w:spacing w:line="520" w:lineRule="exact"/>
        <w:rPr>
          <w:rFonts w:ascii="微软雅黑" w:eastAsia="微软雅黑" w:hAnsi="微软雅黑"/>
          <w:sz w:val="20"/>
          <w:szCs w:val="20"/>
        </w:rPr>
      </w:pPr>
      <w:r w:rsidRPr="009C5125">
        <w:rPr>
          <w:rFonts w:ascii="微软雅黑" w:eastAsia="微软雅黑" w:hAnsi="微软雅黑"/>
          <w:sz w:val="20"/>
          <w:szCs w:val="20"/>
        </w:rPr>
        <w:t xml:space="preserve">　　1、对于城市更新单元计划公告之日起12个月内，未完成土地及建筑物信息核查和城市更新单元规划报批的，自本意见施行之日起3个月内仍未完成土地及建筑物信息核查和城市更新单元规划报批； </w:t>
      </w:r>
    </w:p>
    <w:p w:rsidR="005B2445" w:rsidRPr="009C5125" w:rsidRDefault="005B2445" w:rsidP="005B2445">
      <w:pPr>
        <w:spacing w:line="520" w:lineRule="exact"/>
        <w:rPr>
          <w:rFonts w:ascii="微软雅黑" w:eastAsia="微软雅黑" w:hAnsi="微软雅黑"/>
          <w:sz w:val="20"/>
          <w:szCs w:val="20"/>
        </w:rPr>
      </w:pPr>
      <w:r w:rsidRPr="009C5125">
        <w:rPr>
          <w:rFonts w:ascii="微软雅黑" w:eastAsia="微软雅黑" w:hAnsi="微软雅黑"/>
          <w:sz w:val="20"/>
          <w:szCs w:val="20"/>
        </w:rPr>
        <w:t xml:space="preserve">　　2、对于城市更新单元规划批准或调整之日起24个月内，项目首期未确认实施主体的，自本意见施行之日起6个月内仍未完成首期实施主体确认； </w:t>
      </w:r>
    </w:p>
    <w:p w:rsidR="005B2445" w:rsidRPr="009C5125" w:rsidRDefault="005B2445" w:rsidP="005B2445">
      <w:pPr>
        <w:spacing w:line="520" w:lineRule="exact"/>
        <w:rPr>
          <w:rFonts w:ascii="微软雅黑" w:eastAsia="微软雅黑" w:hAnsi="微软雅黑"/>
          <w:sz w:val="20"/>
          <w:szCs w:val="20"/>
        </w:rPr>
      </w:pPr>
      <w:r w:rsidRPr="009C5125">
        <w:rPr>
          <w:rFonts w:ascii="微软雅黑" w:eastAsia="微软雅黑" w:hAnsi="微软雅黑"/>
          <w:sz w:val="20"/>
          <w:szCs w:val="20"/>
        </w:rPr>
        <w:t xml:space="preserve">　　3、对于项目首期实施主体确认之日起12个月内，未办理用地出让手续的，自本意见施行之日起6个月内仍未完成用地出让手续办理； </w:t>
      </w:r>
    </w:p>
    <w:p w:rsidR="005B2445" w:rsidRPr="009C5125" w:rsidRDefault="005B2445" w:rsidP="005B2445">
      <w:pPr>
        <w:spacing w:line="520" w:lineRule="exact"/>
        <w:rPr>
          <w:rFonts w:ascii="微软雅黑" w:eastAsia="微软雅黑" w:hAnsi="微软雅黑"/>
          <w:sz w:val="20"/>
          <w:szCs w:val="20"/>
        </w:rPr>
      </w:pPr>
      <w:r w:rsidRPr="009C5125">
        <w:rPr>
          <w:rFonts w:ascii="微软雅黑" w:eastAsia="微软雅黑" w:hAnsi="微软雅黑"/>
          <w:sz w:val="20"/>
          <w:szCs w:val="20"/>
        </w:rPr>
        <w:t xml:space="preserve">　　在上述情形规定的期限届满前，区城市更新主管部门可以提前3个月公告项目进展情况及拟处理措施；确实出现上述情形的，区城市更新主管部门提请区城市更新和土地整备工作领导小组（以下简称区领导小组）审议调出更新单元计划，区领导小组审议通过的，区城市更新主管部门在区城市更新主管部门办公场所、项目所在辖区街道办、项目现场、《深圳特区报》或《深圳商报》及深圳福田政府在线网站对计划调出进行公告并报市规划</w:t>
      </w:r>
      <w:proofErr w:type="gramStart"/>
      <w:r w:rsidRPr="009C5125">
        <w:rPr>
          <w:rFonts w:ascii="微软雅黑" w:eastAsia="微软雅黑" w:hAnsi="微软雅黑"/>
          <w:sz w:val="20"/>
          <w:szCs w:val="20"/>
        </w:rPr>
        <w:t>国土委</w:t>
      </w:r>
      <w:proofErr w:type="gramEnd"/>
      <w:r w:rsidRPr="009C5125">
        <w:rPr>
          <w:rFonts w:ascii="微软雅黑" w:eastAsia="微软雅黑" w:hAnsi="微软雅黑"/>
          <w:sz w:val="20"/>
          <w:szCs w:val="20"/>
        </w:rPr>
        <w:t>备案。更新单元被调出更新计划的，已取得的相关批复文件即时失效。被调出更新计划的更新单元，自调出计划之日起3年内不得申报更新单元计划。 </w:t>
      </w:r>
    </w:p>
    <w:p w:rsidR="005B2445" w:rsidRPr="009C5125" w:rsidRDefault="005B2445" w:rsidP="005B2445">
      <w:pPr>
        <w:spacing w:line="520" w:lineRule="exact"/>
        <w:rPr>
          <w:rFonts w:ascii="微软雅黑" w:eastAsia="微软雅黑" w:hAnsi="微软雅黑"/>
          <w:sz w:val="20"/>
          <w:szCs w:val="20"/>
        </w:rPr>
      </w:pPr>
      <w:r w:rsidRPr="009C5125">
        <w:rPr>
          <w:rFonts w:ascii="微软雅黑" w:eastAsia="微软雅黑" w:hAnsi="微软雅黑"/>
          <w:sz w:val="20"/>
          <w:szCs w:val="20"/>
        </w:rPr>
        <w:t xml:space="preserve">　　（六）【规劝退出】鼓励和支持有实力、有信誉、有品牌、有资质、有经验的开发企业参与城市更新工作。城市更新单元列入计划后，如意向实施主体财务状况恶化或不具备项目开发实力导致城市更新项目长期未能推进的，区城市更新主管部门可以视情况规劝意向实施主体退出项目。 </w:t>
      </w:r>
    </w:p>
    <w:p w:rsidR="005B2445" w:rsidRPr="009C5125" w:rsidRDefault="005B2445" w:rsidP="005B2445">
      <w:pPr>
        <w:spacing w:line="520" w:lineRule="exact"/>
        <w:rPr>
          <w:rFonts w:ascii="微软雅黑" w:eastAsia="微软雅黑" w:hAnsi="微软雅黑"/>
          <w:b/>
          <w:sz w:val="20"/>
          <w:szCs w:val="20"/>
        </w:rPr>
      </w:pPr>
      <w:r w:rsidRPr="009C5125">
        <w:rPr>
          <w:rFonts w:ascii="微软雅黑" w:eastAsia="微软雅黑" w:hAnsi="微软雅黑"/>
          <w:b/>
          <w:sz w:val="20"/>
          <w:szCs w:val="20"/>
        </w:rPr>
        <w:lastRenderedPageBreak/>
        <w:t xml:space="preserve">　　二、进一步规范和促进城市更新搬迁补偿行为 </w:t>
      </w:r>
    </w:p>
    <w:p w:rsidR="005B2445" w:rsidRPr="009C5125" w:rsidRDefault="005B2445" w:rsidP="005B2445">
      <w:pPr>
        <w:spacing w:line="520" w:lineRule="exact"/>
        <w:rPr>
          <w:rFonts w:ascii="微软雅黑" w:eastAsia="微软雅黑" w:hAnsi="微软雅黑"/>
          <w:sz w:val="20"/>
          <w:szCs w:val="20"/>
        </w:rPr>
      </w:pPr>
      <w:r w:rsidRPr="009C5125">
        <w:rPr>
          <w:rFonts w:ascii="微软雅黑" w:eastAsia="微软雅黑" w:hAnsi="微软雅黑"/>
          <w:sz w:val="20"/>
          <w:szCs w:val="20"/>
        </w:rPr>
        <w:t xml:space="preserve">　　（七）【谈判促进平台】辖区街道办及有关部门应当组织社区、搬迁人和权利主体共同搭建搬迁补偿谈判促进平台。对于城市更新单元规划已批准的项目，经申报主体或权利主体申请，根据争议或谈判事项的具体情况，辖区街道</w:t>
      </w:r>
      <w:proofErr w:type="gramStart"/>
      <w:r w:rsidRPr="009C5125">
        <w:rPr>
          <w:rFonts w:ascii="微软雅黑" w:eastAsia="微软雅黑" w:hAnsi="微软雅黑"/>
          <w:sz w:val="20"/>
          <w:szCs w:val="20"/>
        </w:rPr>
        <w:t>办可以</w:t>
      </w:r>
      <w:proofErr w:type="gramEnd"/>
      <w:r w:rsidRPr="009C5125">
        <w:rPr>
          <w:rFonts w:ascii="微软雅黑" w:eastAsia="微软雅黑" w:hAnsi="微软雅黑"/>
          <w:sz w:val="20"/>
          <w:szCs w:val="20"/>
        </w:rPr>
        <w:t>搭建协商平台，居中调解，促进争议双方尽力达成一致意见。当事人就争议或谈判事项达成一致意见后，在辖区街道办的主持下制作并签订《搬迁补偿安置协议》。 </w:t>
      </w:r>
    </w:p>
    <w:p w:rsidR="005B2445" w:rsidRPr="009C5125" w:rsidRDefault="005B2445" w:rsidP="005B2445">
      <w:pPr>
        <w:spacing w:line="520" w:lineRule="exact"/>
        <w:rPr>
          <w:rFonts w:ascii="微软雅黑" w:eastAsia="微软雅黑" w:hAnsi="微软雅黑"/>
          <w:sz w:val="20"/>
          <w:szCs w:val="20"/>
        </w:rPr>
      </w:pPr>
      <w:r w:rsidRPr="009C5125">
        <w:rPr>
          <w:rFonts w:ascii="微软雅黑" w:eastAsia="微软雅黑" w:hAnsi="微软雅黑"/>
          <w:sz w:val="20"/>
          <w:szCs w:val="20"/>
        </w:rPr>
        <w:t xml:space="preserve">　　（八）【第三方的引入】鼓励搬迁人和权利主体引入仲裁机构、调解机构、行业专家等</w:t>
      </w:r>
      <w:proofErr w:type="gramStart"/>
      <w:r w:rsidRPr="009C5125">
        <w:rPr>
          <w:rFonts w:ascii="微软雅黑" w:eastAsia="微软雅黑" w:hAnsi="微软雅黑"/>
          <w:sz w:val="20"/>
          <w:szCs w:val="20"/>
        </w:rPr>
        <w:t>独立第三</w:t>
      </w:r>
      <w:proofErr w:type="gramEnd"/>
      <w:r w:rsidRPr="009C5125">
        <w:rPr>
          <w:rFonts w:ascii="微软雅黑" w:eastAsia="微软雅黑" w:hAnsi="微软雅黑"/>
          <w:sz w:val="20"/>
          <w:szCs w:val="20"/>
        </w:rPr>
        <w:t>方参与搬迁谈判，妥善协调、处理谈判争议或纠纷事项，提升搬迁谈判效率。 </w:t>
      </w:r>
    </w:p>
    <w:p w:rsidR="005B2445" w:rsidRPr="009C5125" w:rsidRDefault="005B2445" w:rsidP="005B2445">
      <w:pPr>
        <w:spacing w:line="520" w:lineRule="exact"/>
        <w:rPr>
          <w:rFonts w:ascii="微软雅黑" w:eastAsia="微软雅黑" w:hAnsi="微软雅黑"/>
          <w:sz w:val="20"/>
          <w:szCs w:val="20"/>
        </w:rPr>
      </w:pPr>
      <w:r w:rsidRPr="009C5125">
        <w:rPr>
          <w:rFonts w:ascii="微软雅黑" w:eastAsia="微软雅黑" w:hAnsi="微软雅黑"/>
          <w:sz w:val="20"/>
          <w:szCs w:val="20"/>
        </w:rPr>
        <w:t xml:space="preserve">　　（九）【规范搬迁补偿市场秩序】搬迁人和权利主体应当遵循公平合理、价格公允、依法合</w:t>
      </w:r>
      <w:proofErr w:type="gramStart"/>
      <w:r w:rsidRPr="009C5125">
        <w:rPr>
          <w:rFonts w:ascii="微软雅黑" w:eastAsia="微软雅黑" w:hAnsi="微软雅黑"/>
          <w:sz w:val="20"/>
          <w:szCs w:val="20"/>
        </w:rPr>
        <w:t>规</w:t>
      </w:r>
      <w:proofErr w:type="gramEnd"/>
      <w:r w:rsidRPr="009C5125">
        <w:rPr>
          <w:rFonts w:ascii="微软雅黑" w:eastAsia="微软雅黑" w:hAnsi="微软雅黑"/>
          <w:sz w:val="20"/>
          <w:szCs w:val="20"/>
        </w:rPr>
        <w:t>的原则共同协商搬迁补偿方案，营造良好、规范的搬迁补偿市场秩序。对于搬迁补偿标准明显偏离市场价值等扰乱搬迁补偿市场秩序的行为，区城市更新主管部门与辖区街道</w:t>
      </w:r>
      <w:proofErr w:type="gramStart"/>
      <w:r w:rsidRPr="009C5125">
        <w:rPr>
          <w:rFonts w:ascii="微软雅黑" w:eastAsia="微软雅黑" w:hAnsi="微软雅黑"/>
          <w:sz w:val="20"/>
          <w:szCs w:val="20"/>
        </w:rPr>
        <w:t>办可以</w:t>
      </w:r>
      <w:proofErr w:type="gramEnd"/>
      <w:r w:rsidRPr="009C5125">
        <w:rPr>
          <w:rFonts w:ascii="微软雅黑" w:eastAsia="微软雅黑" w:hAnsi="微软雅黑"/>
          <w:sz w:val="20"/>
          <w:szCs w:val="20"/>
        </w:rPr>
        <w:t>主动介入并及时制止。 </w:t>
      </w:r>
    </w:p>
    <w:p w:rsidR="005B2445" w:rsidRPr="009C5125" w:rsidRDefault="005B2445" w:rsidP="005B2445">
      <w:pPr>
        <w:spacing w:line="520" w:lineRule="exact"/>
        <w:rPr>
          <w:rFonts w:ascii="微软雅黑" w:eastAsia="微软雅黑" w:hAnsi="微软雅黑"/>
          <w:b/>
          <w:sz w:val="20"/>
          <w:szCs w:val="20"/>
        </w:rPr>
      </w:pPr>
      <w:r w:rsidRPr="009C5125">
        <w:rPr>
          <w:rFonts w:ascii="微软雅黑" w:eastAsia="微软雅黑" w:hAnsi="微软雅黑"/>
          <w:b/>
          <w:sz w:val="20"/>
          <w:szCs w:val="20"/>
        </w:rPr>
        <w:t xml:space="preserve">　　三、加强城市更新单元范围内物业管理 </w:t>
      </w:r>
    </w:p>
    <w:p w:rsidR="005B2445" w:rsidRPr="009C5125" w:rsidRDefault="005B2445" w:rsidP="005B2445">
      <w:pPr>
        <w:spacing w:line="520" w:lineRule="exact"/>
        <w:rPr>
          <w:rFonts w:ascii="微软雅黑" w:eastAsia="微软雅黑" w:hAnsi="微软雅黑"/>
          <w:sz w:val="20"/>
          <w:szCs w:val="20"/>
        </w:rPr>
      </w:pPr>
      <w:r w:rsidRPr="009C5125">
        <w:rPr>
          <w:rFonts w:ascii="微软雅黑" w:eastAsia="微软雅黑" w:hAnsi="微软雅黑"/>
          <w:sz w:val="20"/>
          <w:szCs w:val="20"/>
        </w:rPr>
        <w:t xml:space="preserve">　　（十）【联合检查】城市更新单元计划公告后，该更新单元范围列为重点监管区域，重点加强对区域内物业可能存在的安全隐患管理。区城市更新主管部门、辖区街道办、消防、安监、城管、质监、环保、住建等部门可以建立联动机制，对重点监管区域内物业加强综合管理，必要时可成立联合检查组进行实地定期检查。 </w:t>
      </w:r>
    </w:p>
    <w:p w:rsidR="005B2445" w:rsidRPr="009C5125" w:rsidRDefault="005B2445" w:rsidP="005B2445">
      <w:pPr>
        <w:spacing w:line="520" w:lineRule="exact"/>
        <w:rPr>
          <w:rFonts w:ascii="微软雅黑" w:eastAsia="微软雅黑" w:hAnsi="微软雅黑"/>
          <w:sz w:val="20"/>
          <w:szCs w:val="20"/>
        </w:rPr>
      </w:pPr>
      <w:r w:rsidRPr="009C5125">
        <w:rPr>
          <w:rFonts w:ascii="微软雅黑" w:eastAsia="微软雅黑" w:hAnsi="微软雅黑"/>
          <w:sz w:val="20"/>
          <w:szCs w:val="20"/>
        </w:rPr>
        <w:t xml:space="preserve">　　（十一）【安全隐患排查】城市更新单元计划公告后，重点监管区域内权利主体应当开展房屋安全隐患自查工作，对于存在重大消防、安全、治安隐患的房屋，应当及时完成整改后报区消防主管部门、辖区街道办、区安</w:t>
      </w:r>
      <w:proofErr w:type="gramStart"/>
      <w:r w:rsidRPr="009C5125">
        <w:rPr>
          <w:rFonts w:ascii="微软雅黑" w:eastAsia="微软雅黑" w:hAnsi="微软雅黑"/>
          <w:sz w:val="20"/>
          <w:szCs w:val="20"/>
        </w:rPr>
        <w:t>监主管</w:t>
      </w:r>
      <w:proofErr w:type="gramEnd"/>
      <w:r w:rsidRPr="009C5125">
        <w:rPr>
          <w:rFonts w:ascii="微软雅黑" w:eastAsia="微软雅黑" w:hAnsi="微软雅黑"/>
          <w:sz w:val="20"/>
          <w:szCs w:val="20"/>
        </w:rPr>
        <w:t>部门备案。已签订房屋搬迁补偿安置协议的，相关安全隐患排查及整改工作由权利主体和搬迁人共同负责，相关安全责任由权利主体和搬迁人共同承担。 </w:t>
      </w:r>
    </w:p>
    <w:p w:rsidR="005B2445" w:rsidRPr="009C5125" w:rsidRDefault="005B2445" w:rsidP="005B2445">
      <w:pPr>
        <w:spacing w:line="520" w:lineRule="exact"/>
        <w:rPr>
          <w:rFonts w:ascii="微软雅黑" w:eastAsia="微软雅黑" w:hAnsi="微软雅黑"/>
          <w:sz w:val="20"/>
          <w:szCs w:val="20"/>
        </w:rPr>
      </w:pPr>
      <w:r w:rsidRPr="009C5125">
        <w:rPr>
          <w:rFonts w:ascii="微软雅黑" w:eastAsia="微软雅黑" w:hAnsi="微软雅黑"/>
          <w:sz w:val="20"/>
          <w:szCs w:val="20"/>
        </w:rPr>
        <w:t xml:space="preserve">　　鼓励权利主体签订搬迁补偿安置协议，并委托申报主体开展安全隐患检查、整改工作。已签订房屋搬迁补偿安置协议且交房的，由搬迁人开展安全隐患排查及整改工作，并对安全问题负责。未及时整改或整改后不符合安全要求的，由有关部门依法查处，辖区街道办协助有关部门开展清理、整治工作。对于不签订搬迁补偿安置协议的权利主体，存在安全隐患但拒不整改或整改后不符合安全要求的，由有关部门联合辖区街道办依法加大查处力度，造成安全事故的，依法追究法律责任。 </w:t>
      </w:r>
    </w:p>
    <w:p w:rsidR="005B2445" w:rsidRPr="009C5125" w:rsidRDefault="005B2445" w:rsidP="005B2445">
      <w:pPr>
        <w:spacing w:line="520" w:lineRule="exact"/>
        <w:rPr>
          <w:rFonts w:ascii="微软雅黑" w:eastAsia="微软雅黑" w:hAnsi="微软雅黑"/>
          <w:sz w:val="20"/>
          <w:szCs w:val="20"/>
        </w:rPr>
      </w:pPr>
      <w:r w:rsidRPr="009C5125">
        <w:rPr>
          <w:rFonts w:ascii="微软雅黑" w:eastAsia="微软雅黑" w:hAnsi="微软雅黑"/>
          <w:sz w:val="20"/>
          <w:szCs w:val="20"/>
        </w:rPr>
        <w:t xml:space="preserve">　　（十二）【消防监督检查】全面排查重点监管区域内的消防安全隐患，政府对重点监管区域内物业加强消防监督检查，排查消防安全隐患，依法对消防违法行为进行查处。已签订房屋搬迁补偿安置协议的，相关消防安全责任由权利主体和搬迁人共同承担；已签订房屋搬迁补偿安置协议且交房的，相关消防安全责任由搬迁人承担。 </w:t>
      </w:r>
    </w:p>
    <w:p w:rsidR="005B2445" w:rsidRPr="009C5125" w:rsidRDefault="005B2445" w:rsidP="005B2445">
      <w:pPr>
        <w:spacing w:line="520" w:lineRule="exact"/>
        <w:rPr>
          <w:rFonts w:ascii="微软雅黑" w:eastAsia="微软雅黑" w:hAnsi="微软雅黑"/>
          <w:sz w:val="20"/>
          <w:szCs w:val="20"/>
        </w:rPr>
      </w:pPr>
      <w:r w:rsidRPr="009C5125">
        <w:rPr>
          <w:rFonts w:ascii="微软雅黑" w:eastAsia="微软雅黑" w:hAnsi="微软雅黑"/>
          <w:sz w:val="20"/>
          <w:szCs w:val="20"/>
        </w:rPr>
        <w:lastRenderedPageBreak/>
        <w:t xml:space="preserve">　　（十三）【安全生产管理】加强安全生产防控工作，政府对重点监管区域内的生产经营单位遵守安全生产法律、法规、规章的情况加强检查，依法对安全生产违法行为进行查处。 </w:t>
      </w:r>
    </w:p>
    <w:p w:rsidR="005B2445" w:rsidRPr="009C5125" w:rsidRDefault="005B2445" w:rsidP="005B2445">
      <w:pPr>
        <w:spacing w:line="520" w:lineRule="exact"/>
        <w:rPr>
          <w:rFonts w:ascii="微软雅黑" w:eastAsia="微软雅黑" w:hAnsi="微软雅黑"/>
          <w:sz w:val="20"/>
          <w:szCs w:val="20"/>
        </w:rPr>
      </w:pPr>
      <w:r w:rsidRPr="009C5125">
        <w:rPr>
          <w:rFonts w:ascii="微软雅黑" w:eastAsia="微软雅黑" w:hAnsi="微软雅黑"/>
          <w:sz w:val="20"/>
          <w:szCs w:val="20"/>
        </w:rPr>
        <w:t xml:space="preserve">　　（十四）【出租屋安全管理】加强重点监管区域内的出租屋安全管理，政府将对重点监管区域内出租屋加强管理，严格控制业主改变建筑物结构和使用性质等行为，对于改变建筑物结构及使用性质的，必须严格履行报批手续。出租屋存在重大消防、安全、治安隐患的，有关部门依法查处，有人员居住其中的，由辖区街道办依法清理。权利主体完成房屋整改并报辖区街道办与房屋租赁管理部门备案后，方可继续出租房屋。 </w:t>
      </w:r>
    </w:p>
    <w:p w:rsidR="005B2445" w:rsidRPr="009C5125" w:rsidRDefault="005B2445" w:rsidP="005B2445">
      <w:pPr>
        <w:spacing w:line="520" w:lineRule="exact"/>
        <w:rPr>
          <w:rFonts w:ascii="微软雅黑" w:eastAsia="微软雅黑" w:hAnsi="微软雅黑"/>
          <w:sz w:val="20"/>
          <w:szCs w:val="20"/>
        </w:rPr>
      </w:pPr>
      <w:r w:rsidRPr="009C5125">
        <w:rPr>
          <w:rFonts w:ascii="微软雅黑" w:eastAsia="微软雅黑" w:hAnsi="微软雅黑"/>
          <w:sz w:val="20"/>
          <w:szCs w:val="20"/>
        </w:rPr>
        <w:t xml:space="preserve">　　（十五）【企业登记管理】城市更新单元计划公告后，由区城市更新主管部门向市场监督管理部门及辖区街道办通报城市更新单元范围，辖区街道办网格信息管理中心向市场监督管理部门提供重点监管区域内的具体房屋编码，市场监督管理部门不再办理该区域内的企业设立登记或企业营业执照续期，并可结合项目实施情况，督促企业在一定期限内办理注销或者地址变更，已批准的城市更新单元规划确定的非拆除重建区域除外。 </w:t>
      </w:r>
    </w:p>
    <w:p w:rsidR="005B2445" w:rsidRPr="009C5125" w:rsidRDefault="005B2445" w:rsidP="005B2445">
      <w:pPr>
        <w:spacing w:line="520" w:lineRule="exact"/>
        <w:rPr>
          <w:rFonts w:ascii="微软雅黑" w:eastAsia="微软雅黑" w:hAnsi="微软雅黑"/>
          <w:sz w:val="20"/>
          <w:szCs w:val="20"/>
        </w:rPr>
      </w:pPr>
      <w:r w:rsidRPr="009C5125">
        <w:rPr>
          <w:rFonts w:ascii="微软雅黑" w:eastAsia="微软雅黑" w:hAnsi="微软雅黑"/>
          <w:sz w:val="20"/>
          <w:szCs w:val="20"/>
        </w:rPr>
        <w:t xml:space="preserve">　　严禁企业使用或租用违法建筑房屋从事生产经营。市场监督管理部门发现企业使用或租用违法建筑从事经营活动的，依法进行查处。 </w:t>
      </w:r>
    </w:p>
    <w:p w:rsidR="005B2445" w:rsidRPr="009C5125" w:rsidRDefault="005B2445" w:rsidP="005B2445">
      <w:pPr>
        <w:spacing w:line="520" w:lineRule="exact"/>
        <w:rPr>
          <w:rFonts w:ascii="微软雅黑" w:eastAsia="微软雅黑" w:hAnsi="微软雅黑"/>
          <w:sz w:val="20"/>
          <w:szCs w:val="20"/>
        </w:rPr>
      </w:pPr>
      <w:r w:rsidRPr="009C5125">
        <w:rPr>
          <w:rFonts w:ascii="微软雅黑" w:eastAsia="微软雅黑" w:hAnsi="微软雅黑"/>
          <w:sz w:val="20"/>
          <w:szCs w:val="20"/>
        </w:rPr>
        <w:t xml:space="preserve">　　严禁企业使用或租用危险房屋从事生产经营。危险房屋在治理、解危前，市场监督管理部门不得办理或延续企业营业执照。如房屋安全责任人未及时采取措施治理、解危且企业拒不办理注销或地址变更的，市场监督管理部门依法进行查处。 </w:t>
      </w:r>
    </w:p>
    <w:p w:rsidR="005B2445" w:rsidRPr="009C5125" w:rsidRDefault="005B2445" w:rsidP="005B2445">
      <w:pPr>
        <w:spacing w:line="520" w:lineRule="exact"/>
        <w:rPr>
          <w:rFonts w:ascii="微软雅黑" w:eastAsia="微软雅黑" w:hAnsi="微软雅黑"/>
          <w:sz w:val="20"/>
          <w:szCs w:val="20"/>
        </w:rPr>
      </w:pPr>
      <w:r w:rsidRPr="009C5125">
        <w:rPr>
          <w:rFonts w:ascii="微软雅黑" w:eastAsia="微软雅黑" w:hAnsi="微软雅黑"/>
          <w:sz w:val="20"/>
          <w:szCs w:val="20"/>
        </w:rPr>
        <w:t xml:space="preserve">　　（十六）【违法建筑查处】城市更新单元计划公告后，禁止在重点监管区域内非法加建、改建或扩建建筑物。违反规定的，政府将依法进行查处、清理、拆除。 </w:t>
      </w:r>
    </w:p>
    <w:p w:rsidR="005B2445" w:rsidRPr="009C5125" w:rsidRDefault="005B2445" w:rsidP="005B2445">
      <w:pPr>
        <w:spacing w:line="520" w:lineRule="exact"/>
        <w:rPr>
          <w:rFonts w:ascii="微软雅黑" w:eastAsia="微软雅黑" w:hAnsi="微软雅黑"/>
          <w:b/>
          <w:sz w:val="20"/>
          <w:szCs w:val="20"/>
        </w:rPr>
      </w:pPr>
      <w:r w:rsidRPr="009C5125">
        <w:rPr>
          <w:rFonts w:ascii="微软雅黑" w:eastAsia="微软雅黑" w:hAnsi="微软雅黑"/>
          <w:b/>
          <w:sz w:val="20"/>
          <w:szCs w:val="20"/>
        </w:rPr>
        <w:t xml:space="preserve">　　四、建立城市更新诚信管理体系 </w:t>
      </w:r>
    </w:p>
    <w:p w:rsidR="005B2445" w:rsidRPr="009C5125" w:rsidRDefault="005B2445" w:rsidP="005B2445">
      <w:pPr>
        <w:spacing w:line="520" w:lineRule="exact"/>
        <w:rPr>
          <w:rFonts w:ascii="微软雅黑" w:eastAsia="微软雅黑" w:hAnsi="微软雅黑"/>
          <w:sz w:val="20"/>
          <w:szCs w:val="20"/>
        </w:rPr>
      </w:pPr>
      <w:r w:rsidRPr="009C5125">
        <w:rPr>
          <w:rFonts w:ascii="微软雅黑" w:eastAsia="微软雅黑" w:hAnsi="微软雅黑"/>
          <w:sz w:val="20"/>
          <w:szCs w:val="20"/>
        </w:rPr>
        <w:t xml:space="preserve">　　（十七）【城市更新企业信用档案】建立健全各市场主体参与计划申报、规划编制、房屋搬迁补偿安置、房屋拆除、建设管理、公益事业等行为的信用记录，结合司法机关行贿犯罪档案，建立城市更新企业信用档案，相关部门在城市更新业务办理、项目实施监管等业务中应当将城市更新诚信信息作为重要</w:t>
      </w:r>
      <w:proofErr w:type="gramStart"/>
      <w:r w:rsidRPr="009C5125">
        <w:rPr>
          <w:rFonts w:ascii="微软雅黑" w:eastAsia="微软雅黑" w:hAnsi="微软雅黑"/>
          <w:sz w:val="20"/>
          <w:szCs w:val="20"/>
        </w:rPr>
        <w:t>考量</w:t>
      </w:r>
      <w:proofErr w:type="gramEnd"/>
      <w:r w:rsidRPr="009C5125">
        <w:rPr>
          <w:rFonts w:ascii="微软雅黑" w:eastAsia="微软雅黑" w:hAnsi="微软雅黑"/>
          <w:sz w:val="20"/>
          <w:szCs w:val="20"/>
        </w:rPr>
        <w:t>因素。同时，信用档案将报市规划</w:t>
      </w:r>
      <w:proofErr w:type="gramStart"/>
      <w:r w:rsidRPr="009C5125">
        <w:rPr>
          <w:rFonts w:ascii="微软雅黑" w:eastAsia="微软雅黑" w:hAnsi="微软雅黑"/>
          <w:sz w:val="20"/>
          <w:szCs w:val="20"/>
        </w:rPr>
        <w:t>国土委</w:t>
      </w:r>
      <w:proofErr w:type="gramEnd"/>
      <w:r w:rsidRPr="009C5125">
        <w:rPr>
          <w:rFonts w:ascii="微软雅黑" w:eastAsia="微软雅黑" w:hAnsi="微软雅黑"/>
          <w:sz w:val="20"/>
          <w:szCs w:val="20"/>
        </w:rPr>
        <w:t>备案，并通报其他各区城市更新主管部门参考。 </w:t>
      </w:r>
    </w:p>
    <w:p w:rsidR="005B2445" w:rsidRPr="009C5125" w:rsidRDefault="005B2445" w:rsidP="005B2445">
      <w:pPr>
        <w:spacing w:line="520" w:lineRule="exact"/>
        <w:rPr>
          <w:rFonts w:ascii="微软雅黑" w:eastAsia="微软雅黑" w:hAnsi="微软雅黑"/>
          <w:sz w:val="20"/>
          <w:szCs w:val="20"/>
        </w:rPr>
      </w:pPr>
      <w:r w:rsidRPr="009C5125">
        <w:rPr>
          <w:rFonts w:ascii="微软雅黑" w:eastAsia="微软雅黑" w:hAnsi="微软雅黑"/>
          <w:sz w:val="20"/>
          <w:szCs w:val="20"/>
        </w:rPr>
        <w:t xml:space="preserve">　　（十八）【法律责任】有关单位和个人在开展城市更新意愿的调查和征集、土地及建筑物核查、城市更新计划申报、城市更新规划编制与审批、实施主体确认申请等城市更新活动中，如有欺诈、胁迫、虚构事实、侵害个人隐私、泄漏商业秘密、伪造或者变造文件、散布虚假信息、炒卖项目、行贿等行为的，相关部门将及时查处；情节严重的，取消其参与城市更新活动的资格；构成犯罪的，依法追究刑事责任。 </w:t>
      </w:r>
    </w:p>
    <w:p w:rsidR="005B2445" w:rsidRPr="009C5125" w:rsidRDefault="005B2445" w:rsidP="005B2445">
      <w:pPr>
        <w:spacing w:line="520" w:lineRule="exact"/>
        <w:rPr>
          <w:rFonts w:ascii="微软雅黑" w:eastAsia="微软雅黑" w:hAnsi="微软雅黑"/>
          <w:b/>
          <w:sz w:val="20"/>
          <w:szCs w:val="20"/>
        </w:rPr>
      </w:pPr>
      <w:r w:rsidRPr="009C5125">
        <w:rPr>
          <w:rFonts w:ascii="微软雅黑" w:eastAsia="微软雅黑" w:hAnsi="微软雅黑"/>
          <w:b/>
          <w:sz w:val="20"/>
          <w:szCs w:val="20"/>
        </w:rPr>
        <w:t xml:space="preserve">　　五、其他 </w:t>
      </w:r>
    </w:p>
    <w:p w:rsidR="005B2445" w:rsidRPr="009C5125" w:rsidRDefault="005B2445" w:rsidP="005B2445">
      <w:pPr>
        <w:spacing w:line="520" w:lineRule="exact"/>
        <w:rPr>
          <w:rFonts w:ascii="微软雅黑" w:eastAsia="微软雅黑" w:hAnsi="微软雅黑"/>
          <w:sz w:val="20"/>
          <w:szCs w:val="20"/>
        </w:rPr>
      </w:pPr>
      <w:r w:rsidRPr="009C5125">
        <w:rPr>
          <w:rFonts w:ascii="微软雅黑" w:eastAsia="微软雅黑" w:hAnsi="微软雅黑"/>
          <w:sz w:val="20"/>
          <w:szCs w:val="20"/>
        </w:rPr>
        <w:lastRenderedPageBreak/>
        <w:t xml:space="preserve">　　（十九）【施行时间】</w:t>
      </w:r>
      <w:proofErr w:type="gramStart"/>
      <w:r w:rsidRPr="009C5125">
        <w:rPr>
          <w:rFonts w:ascii="微软雅黑" w:eastAsia="微软雅黑" w:hAnsi="微软雅黑"/>
          <w:sz w:val="20"/>
          <w:szCs w:val="20"/>
        </w:rPr>
        <w:t>本意见自2018年7月10日起</w:t>
      </w:r>
      <w:proofErr w:type="gramEnd"/>
      <w:r w:rsidRPr="009C5125">
        <w:rPr>
          <w:rFonts w:ascii="微软雅黑" w:eastAsia="微软雅黑" w:hAnsi="微软雅黑"/>
          <w:sz w:val="20"/>
          <w:szCs w:val="20"/>
        </w:rPr>
        <w:t>施行，试行时间三年。 </w:t>
      </w:r>
    </w:p>
    <w:p w:rsidR="002953FC" w:rsidRPr="005B2445" w:rsidRDefault="005B2445" w:rsidP="005B2445">
      <w:pPr>
        <w:spacing w:line="520" w:lineRule="exact"/>
        <w:rPr>
          <w:rFonts w:ascii="微软雅黑" w:eastAsia="微软雅黑" w:hAnsi="微软雅黑"/>
          <w:sz w:val="20"/>
          <w:szCs w:val="20"/>
        </w:rPr>
      </w:pPr>
      <w:r w:rsidRPr="009C5125">
        <w:rPr>
          <w:rFonts w:ascii="微软雅黑" w:eastAsia="微软雅黑" w:hAnsi="微软雅黑"/>
          <w:sz w:val="20"/>
          <w:szCs w:val="20"/>
        </w:rPr>
        <w:t xml:space="preserve">　　（二十）【文件解释】本意见由福田区城市更新主管部门负责解释。 </w:t>
      </w:r>
    </w:p>
    <w:sectPr w:rsidR="002953FC" w:rsidRPr="005B2445" w:rsidSect="000546E7">
      <w:headerReference w:type="default" r:id="rId10"/>
      <w:footerReference w:type="default" r:id="rId11"/>
      <w:pgSz w:w="11906" w:h="16838"/>
      <w:pgMar w:top="1134" w:right="1134" w:bottom="1134" w:left="1134" w:header="56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D2E" w:rsidRDefault="009E6D2E" w:rsidP="0082787A">
      <w:r>
        <w:separator/>
      </w:r>
    </w:p>
  </w:endnote>
  <w:endnote w:type="continuationSeparator" w:id="0">
    <w:p w:rsidR="009E6D2E" w:rsidRDefault="009E6D2E" w:rsidP="0082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C28" w:rsidRDefault="00C43C28" w:rsidP="00C43C28">
    <w:pPr>
      <w:pStyle w:val="a6"/>
      <w:ind w:firstLineChars="3600" w:firstLine="6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D2E" w:rsidRDefault="009E6D2E" w:rsidP="0082787A">
      <w:r>
        <w:separator/>
      </w:r>
    </w:p>
  </w:footnote>
  <w:footnote w:type="continuationSeparator" w:id="0">
    <w:p w:rsidR="009E6D2E" w:rsidRDefault="009E6D2E" w:rsidP="00827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6E7" w:rsidRPr="00EF1A27" w:rsidRDefault="000546E7" w:rsidP="000546E7">
    <w:r>
      <w:rPr>
        <w:noProof/>
      </w:rPr>
      <w:drawing>
        <wp:inline distT="0" distB="0" distL="0" distR="0" wp14:anchorId="66655F8B" wp14:editId="5A0F438B">
          <wp:extent cx="563674" cy="342199"/>
          <wp:effectExtent l="0" t="0" r="8255" b="1270"/>
          <wp:docPr id="3" name="图片 3" descr="汇编 版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汇编 版头"/>
                  <pic:cNvPicPr>
                    <a:picLocks noChangeAspect="1" noChangeArrowheads="1"/>
                  </pic:cNvPicPr>
                </pic:nvPicPr>
                <pic:blipFill rotWithShape="1">
                  <a:blip r:embed="rId1">
                    <a:extLst>
                      <a:ext uri="{28A0092B-C50C-407E-A947-70E740481C1C}">
                        <a14:useLocalDpi xmlns:a14="http://schemas.microsoft.com/office/drawing/2010/main" val="0"/>
                      </a:ext>
                    </a:extLst>
                  </a:blip>
                  <a:srcRect l="26812" t="45045"/>
                  <a:stretch/>
                </pic:blipFill>
                <pic:spPr bwMode="auto">
                  <a:xfrm>
                    <a:off x="0" y="0"/>
                    <a:ext cx="567920" cy="34477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微软雅黑" w:eastAsia="微软雅黑" w:hAnsi="微软雅黑" w:hint="eastAsia"/>
        <w:color w:val="595959" w:themeColor="text1" w:themeTint="A6"/>
        <w:sz w:val="15"/>
        <w:szCs w:val="15"/>
      </w:rPr>
      <w:t xml:space="preserve">                                                                                             第四篇-城市更新各区规定</w:t>
    </w:r>
  </w:p>
  <w:p w:rsidR="004D7B69" w:rsidRPr="000546E7" w:rsidRDefault="004D7B69" w:rsidP="000546E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1."/>
      <w:lvlJc w:val="left"/>
      <w:pPr>
        <w:ind w:left="391" w:hanging="420"/>
      </w:pPr>
    </w:lvl>
    <w:lvl w:ilvl="1">
      <w:start w:val="1"/>
      <w:numFmt w:val="lowerLetter"/>
      <w:lvlText w:val="%2)"/>
      <w:lvlJc w:val="left"/>
      <w:pPr>
        <w:ind w:left="811" w:hanging="420"/>
      </w:pPr>
    </w:lvl>
    <w:lvl w:ilvl="2">
      <w:start w:val="1"/>
      <w:numFmt w:val="lowerRoman"/>
      <w:lvlText w:val="%3."/>
      <w:lvlJc w:val="right"/>
      <w:pPr>
        <w:ind w:left="1231" w:hanging="420"/>
      </w:pPr>
    </w:lvl>
    <w:lvl w:ilvl="3">
      <w:start w:val="1"/>
      <w:numFmt w:val="decimal"/>
      <w:lvlText w:val="%4."/>
      <w:lvlJc w:val="left"/>
      <w:pPr>
        <w:ind w:left="1651" w:hanging="420"/>
      </w:pPr>
    </w:lvl>
    <w:lvl w:ilvl="4">
      <w:start w:val="1"/>
      <w:numFmt w:val="lowerLetter"/>
      <w:lvlText w:val="%5)"/>
      <w:lvlJc w:val="left"/>
      <w:pPr>
        <w:ind w:left="2071" w:hanging="420"/>
      </w:pPr>
    </w:lvl>
    <w:lvl w:ilvl="5">
      <w:start w:val="1"/>
      <w:numFmt w:val="lowerRoman"/>
      <w:lvlText w:val="%6."/>
      <w:lvlJc w:val="right"/>
      <w:pPr>
        <w:ind w:left="2491" w:hanging="420"/>
      </w:pPr>
    </w:lvl>
    <w:lvl w:ilvl="6">
      <w:start w:val="1"/>
      <w:numFmt w:val="decimal"/>
      <w:lvlText w:val="%7."/>
      <w:lvlJc w:val="left"/>
      <w:pPr>
        <w:ind w:left="2911" w:hanging="420"/>
      </w:pPr>
    </w:lvl>
    <w:lvl w:ilvl="7">
      <w:start w:val="1"/>
      <w:numFmt w:val="lowerLetter"/>
      <w:lvlText w:val="%8)"/>
      <w:lvlJc w:val="left"/>
      <w:pPr>
        <w:ind w:left="3331" w:hanging="420"/>
      </w:pPr>
    </w:lvl>
    <w:lvl w:ilvl="8">
      <w:start w:val="1"/>
      <w:numFmt w:val="lowerRoman"/>
      <w:lvlText w:val="%9."/>
      <w:lvlJc w:val="right"/>
      <w:pPr>
        <w:ind w:left="3751" w:hanging="420"/>
      </w:pPr>
    </w:lvl>
  </w:abstractNum>
  <w:abstractNum w:abstractNumId="1">
    <w:nsid w:val="00000004"/>
    <w:multiLevelType w:val="multilevel"/>
    <w:tmpl w:val="00000004"/>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780"/>
        </w:tabs>
        <w:ind w:left="780" w:hanging="360"/>
      </w:pPr>
      <w:rPr>
        <w:rFont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00000005"/>
    <w:multiLevelType w:val="multilevel"/>
    <w:tmpl w:val="00000005"/>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40"/>
        </w:tabs>
        <w:ind w:left="840" w:hanging="420"/>
      </w:pPr>
      <w:rPr>
        <w:rFonts w:hint="default"/>
      </w:rPr>
    </w:lvl>
    <w:lvl w:ilvl="2">
      <w:start w:val="1"/>
      <w:numFmt w:val="decimal"/>
      <w:lvlText w:val="%3）"/>
      <w:lvlJc w:val="left"/>
      <w:pPr>
        <w:tabs>
          <w:tab w:val="num" w:pos="1200"/>
        </w:tabs>
        <w:ind w:left="1200" w:hanging="360"/>
      </w:pPr>
      <w:rPr>
        <w:rFonts w:hint="default"/>
      </w:rPr>
    </w:lvl>
    <w:lvl w:ilvl="3">
      <w:start w:val="2"/>
      <w:numFmt w:val="japaneseCounting"/>
      <w:lvlText w:val="%4、"/>
      <w:lvlJc w:val="left"/>
      <w:pPr>
        <w:ind w:left="1710" w:hanging="450"/>
      </w:pPr>
      <w:rPr>
        <w:rFonts w:cs="Times New Roman"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2"/>
    <w:multiLevelType w:val="multilevel"/>
    <w:tmpl w:val="00000012"/>
    <w:lvl w:ilvl="0">
      <w:start w:val="1"/>
      <w:numFmt w:val="decimal"/>
      <w:lvlText w:val="%1）"/>
      <w:lvlJc w:val="left"/>
      <w:pPr>
        <w:tabs>
          <w:tab w:val="num" w:pos="420"/>
        </w:tabs>
        <w:ind w:left="420" w:hanging="420"/>
      </w:pPr>
      <w:rPr>
        <w:rFonts w:ascii="宋体" w:eastAsia="宋体" w:hAnsi="宋体"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15"/>
    <w:multiLevelType w:val="multilevel"/>
    <w:tmpl w:val="00000015"/>
    <w:lvl w:ilvl="0">
      <w:start w:val="1"/>
      <w:numFmt w:val="decimal"/>
      <w:lvlText w:val="%1．"/>
      <w:lvlJc w:val="left"/>
      <w:pPr>
        <w:tabs>
          <w:tab w:val="num" w:pos="0"/>
        </w:tabs>
        <w:ind w:left="0" w:hanging="360"/>
      </w:pPr>
      <w:rPr>
        <w:rFonts w:hint="default"/>
      </w:rPr>
    </w:lvl>
    <w:lvl w:ilvl="1">
      <w:start w:val="1"/>
      <w:numFmt w:val="lowerLetter"/>
      <w:lvlText w:val="%2)"/>
      <w:lvlJc w:val="left"/>
      <w:pPr>
        <w:tabs>
          <w:tab w:val="num" w:pos="480"/>
        </w:tabs>
        <w:ind w:left="480" w:hanging="420"/>
      </w:pPr>
    </w:lvl>
    <w:lvl w:ilvl="2">
      <w:start w:val="1"/>
      <w:numFmt w:val="lowerRoman"/>
      <w:lvlText w:val="%3."/>
      <w:lvlJc w:val="right"/>
      <w:pPr>
        <w:tabs>
          <w:tab w:val="num" w:pos="900"/>
        </w:tabs>
        <w:ind w:left="900" w:hanging="420"/>
      </w:pPr>
    </w:lvl>
    <w:lvl w:ilvl="3">
      <w:start w:val="1"/>
      <w:numFmt w:val="decimal"/>
      <w:lvlText w:val="%4."/>
      <w:lvlJc w:val="left"/>
      <w:pPr>
        <w:tabs>
          <w:tab w:val="num" w:pos="1320"/>
        </w:tabs>
        <w:ind w:left="1320" w:hanging="420"/>
      </w:pPr>
    </w:lvl>
    <w:lvl w:ilvl="4">
      <w:start w:val="1"/>
      <w:numFmt w:val="lowerLetter"/>
      <w:lvlText w:val="%5)"/>
      <w:lvlJc w:val="left"/>
      <w:pPr>
        <w:tabs>
          <w:tab w:val="num" w:pos="1740"/>
        </w:tabs>
        <w:ind w:left="1740" w:hanging="420"/>
      </w:pPr>
    </w:lvl>
    <w:lvl w:ilvl="5">
      <w:start w:val="1"/>
      <w:numFmt w:val="lowerRoman"/>
      <w:lvlText w:val="%6."/>
      <w:lvlJc w:val="right"/>
      <w:pPr>
        <w:tabs>
          <w:tab w:val="num" w:pos="2160"/>
        </w:tabs>
        <w:ind w:left="2160" w:hanging="420"/>
      </w:pPr>
    </w:lvl>
    <w:lvl w:ilvl="6">
      <w:start w:val="1"/>
      <w:numFmt w:val="decimal"/>
      <w:lvlText w:val="%7."/>
      <w:lvlJc w:val="left"/>
      <w:pPr>
        <w:tabs>
          <w:tab w:val="num" w:pos="2580"/>
        </w:tabs>
        <w:ind w:left="2580" w:hanging="420"/>
      </w:pPr>
    </w:lvl>
    <w:lvl w:ilvl="7">
      <w:start w:val="1"/>
      <w:numFmt w:val="lowerLetter"/>
      <w:lvlText w:val="%8)"/>
      <w:lvlJc w:val="left"/>
      <w:pPr>
        <w:tabs>
          <w:tab w:val="num" w:pos="3000"/>
        </w:tabs>
        <w:ind w:left="3000" w:hanging="420"/>
      </w:pPr>
    </w:lvl>
    <w:lvl w:ilvl="8">
      <w:start w:val="1"/>
      <w:numFmt w:val="lowerRoman"/>
      <w:lvlText w:val="%9."/>
      <w:lvlJc w:val="right"/>
      <w:pPr>
        <w:tabs>
          <w:tab w:val="num" w:pos="3420"/>
        </w:tabs>
        <w:ind w:left="3420" w:hanging="420"/>
      </w:pPr>
    </w:lvl>
  </w:abstractNum>
  <w:abstractNum w:abstractNumId="5">
    <w:nsid w:val="038A6208"/>
    <w:multiLevelType w:val="hybridMultilevel"/>
    <w:tmpl w:val="E27A0B62"/>
    <w:lvl w:ilvl="0" w:tplc="AE78E48E">
      <w:start w:val="1"/>
      <w:numFmt w:val="japaneseCounting"/>
      <w:lvlText w:val="（%1）"/>
      <w:lvlJc w:val="left"/>
      <w:pPr>
        <w:ind w:left="2235" w:hanging="159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07853B1F"/>
    <w:multiLevelType w:val="hybridMultilevel"/>
    <w:tmpl w:val="44D40E90"/>
    <w:lvl w:ilvl="0" w:tplc="48BA8A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9040130"/>
    <w:multiLevelType w:val="hybridMultilevel"/>
    <w:tmpl w:val="DD42D452"/>
    <w:lvl w:ilvl="0" w:tplc="27486980">
      <w:start w:val="1"/>
      <w:numFmt w:val="decimal"/>
      <w:lvlText w:val="（%1）"/>
      <w:lvlJc w:val="left"/>
      <w:pPr>
        <w:ind w:left="1560" w:hanging="108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C4975D4"/>
    <w:multiLevelType w:val="hybridMultilevel"/>
    <w:tmpl w:val="686EA15E"/>
    <w:lvl w:ilvl="0" w:tplc="C07C0BD6">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07D4AAA"/>
    <w:multiLevelType w:val="hybridMultilevel"/>
    <w:tmpl w:val="C0ECB676"/>
    <w:lvl w:ilvl="0" w:tplc="7402CB0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4C337B1"/>
    <w:multiLevelType w:val="hybridMultilevel"/>
    <w:tmpl w:val="2990E5D4"/>
    <w:lvl w:ilvl="0" w:tplc="AE8CA83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F902AD"/>
    <w:multiLevelType w:val="hybridMultilevel"/>
    <w:tmpl w:val="65CA8D7E"/>
    <w:lvl w:ilvl="0" w:tplc="0D72169A">
      <w:start w:val="1"/>
      <w:numFmt w:val="decimal"/>
      <w:lvlText w:val="%1）"/>
      <w:lvlJc w:val="left"/>
      <w:pPr>
        <w:ind w:left="360" w:hanging="360"/>
      </w:pPr>
      <w:rPr>
        <w:rFonts w:ascii="宋体" w:eastAsia="Times New Roman" w:hAnsi="宋体" w:hint="eastAsia"/>
        <w:b/>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2731423C"/>
    <w:multiLevelType w:val="hybridMultilevel"/>
    <w:tmpl w:val="6F163BAA"/>
    <w:lvl w:ilvl="0" w:tplc="5E44B07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2E471981"/>
    <w:multiLevelType w:val="hybridMultilevel"/>
    <w:tmpl w:val="26BC7480"/>
    <w:lvl w:ilvl="0" w:tplc="66368022">
      <w:start w:val="1"/>
      <w:numFmt w:val="japaneseCounting"/>
      <w:lvlText w:val="（%1）"/>
      <w:lvlJc w:val="left"/>
      <w:pPr>
        <w:ind w:left="2235" w:hanging="159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4">
    <w:nsid w:val="39CC7641"/>
    <w:multiLevelType w:val="hybridMultilevel"/>
    <w:tmpl w:val="388E11E8"/>
    <w:lvl w:ilvl="0" w:tplc="EBD4D56C">
      <w:start w:val="1"/>
      <w:numFmt w:val="japaneseCounting"/>
      <w:lvlText w:val="第%1章"/>
      <w:lvlJc w:val="left"/>
      <w:pPr>
        <w:ind w:left="1485" w:hanging="1485"/>
      </w:pPr>
      <w:rPr>
        <w:rFonts w:hint="default"/>
        <w:b/>
        <w:i w:val="0"/>
        <w:sz w:val="3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18779B3"/>
    <w:multiLevelType w:val="hybridMultilevel"/>
    <w:tmpl w:val="7ECE2FCE"/>
    <w:lvl w:ilvl="0" w:tplc="B672E9D6">
      <w:start w:val="1"/>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6">
    <w:nsid w:val="52C77404"/>
    <w:multiLevelType w:val="hybridMultilevel"/>
    <w:tmpl w:val="B18E2916"/>
    <w:lvl w:ilvl="0" w:tplc="F7BC78D2">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554F78C7"/>
    <w:multiLevelType w:val="hybridMultilevel"/>
    <w:tmpl w:val="A0E62D48"/>
    <w:lvl w:ilvl="0" w:tplc="70329F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FF453EE"/>
    <w:multiLevelType w:val="hybridMultilevel"/>
    <w:tmpl w:val="1C2E574E"/>
    <w:lvl w:ilvl="0" w:tplc="46F0DF46">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4A43039"/>
    <w:multiLevelType w:val="hybridMultilevel"/>
    <w:tmpl w:val="4FAC0BE8"/>
    <w:lvl w:ilvl="0" w:tplc="FE5E21C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6EF873AC"/>
    <w:multiLevelType w:val="hybridMultilevel"/>
    <w:tmpl w:val="F07E9E36"/>
    <w:lvl w:ilvl="0" w:tplc="8F369D0E">
      <w:start w:val="1"/>
      <w:numFmt w:val="decimalEnclosedCircle"/>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5411407"/>
    <w:multiLevelType w:val="hybridMultilevel"/>
    <w:tmpl w:val="2248A87E"/>
    <w:lvl w:ilvl="0" w:tplc="68F8723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7AAF62C6"/>
    <w:multiLevelType w:val="hybridMultilevel"/>
    <w:tmpl w:val="C4627BA4"/>
    <w:lvl w:ilvl="0" w:tplc="B6685888">
      <w:start w:val="1"/>
      <w:numFmt w:val="japaneseCounting"/>
      <w:lvlText w:val="第%1章"/>
      <w:lvlJc w:val="left"/>
      <w:pPr>
        <w:ind w:left="1929" w:hanging="795"/>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num w:numId="1">
    <w:abstractNumId w:val="17"/>
  </w:num>
  <w:num w:numId="2">
    <w:abstractNumId w:val="1"/>
  </w:num>
  <w:num w:numId="3">
    <w:abstractNumId w:val="2"/>
  </w:num>
  <w:num w:numId="4">
    <w:abstractNumId w:val="4"/>
  </w:num>
  <w:num w:numId="5">
    <w:abstractNumId w:val="3"/>
  </w:num>
  <w:num w:numId="6">
    <w:abstractNumId w:val="0"/>
  </w:num>
  <w:num w:numId="7">
    <w:abstractNumId w:val="18"/>
  </w:num>
  <w:num w:numId="8">
    <w:abstractNumId w:val="8"/>
  </w:num>
  <w:num w:numId="9">
    <w:abstractNumId w:val="19"/>
  </w:num>
  <w:num w:numId="10">
    <w:abstractNumId w:val="16"/>
  </w:num>
  <w:num w:numId="11">
    <w:abstractNumId w:val="21"/>
  </w:num>
  <w:num w:numId="12">
    <w:abstractNumId w:val="12"/>
  </w:num>
  <w:num w:numId="13">
    <w:abstractNumId w:val="7"/>
  </w:num>
  <w:num w:numId="14">
    <w:abstractNumId w:val="1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5"/>
  </w:num>
  <w:num w:numId="18">
    <w:abstractNumId w:val="5"/>
  </w:num>
  <w:num w:numId="19">
    <w:abstractNumId w:val="13"/>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04F82"/>
    <w:rsid w:val="00021A87"/>
    <w:rsid w:val="000546E7"/>
    <w:rsid w:val="00080FE1"/>
    <w:rsid w:val="000B478B"/>
    <w:rsid w:val="000E1F92"/>
    <w:rsid w:val="0014354E"/>
    <w:rsid w:val="00186459"/>
    <w:rsid w:val="001A2CE0"/>
    <w:rsid w:val="001A5BA5"/>
    <w:rsid w:val="001B25E1"/>
    <w:rsid w:val="002953FC"/>
    <w:rsid w:val="002D6CA0"/>
    <w:rsid w:val="003656F0"/>
    <w:rsid w:val="003F1245"/>
    <w:rsid w:val="004754C2"/>
    <w:rsid w:val="004D7B69"/>
    <w:rsid w:val="005305BA"/>
    <w:rsid w:val="005A6DB4"/>
    <w:rsid w:val="005B2445"/>
    <w:rsid w:val="005C7C12"/>
    <w:rsid w:val="00644100"/>
    <w:rsid w:val="006C7322"/>
    <w:rsid w:val="006D62B0"/>
    <w:rsid w:val="00727A6B"/>
    <w:rsid w:val="00741E37"/>
    <w:rsid w:val="007B7DE8"/>
    <w:rsid w:val="007E10E3"/>
    <w:rsid w:val="0082787A"/>
    <w:rsid w:val="008306ED"/>
    <w:rsid w:val="00876E95"/>
    <w:rsid w:val="00922831"/>
    <w:rsid w:val="009C3BBC"/>
    <w:rsid w:val="009D3553"/>
    <w:rsid w:val="009E6D2E"/>
    <w:rsid w:val="00A2308B"/>
    <w:rsid w:val="00A625A1"/>
    <w:rsid w:val="00AA57E8"/>
    <w:rsid w:val="00AC3379"/>
    <w:rsid w:val="00AC4F1F"/>
    <w:rsid w:val="00B01CC5"/>
    <w:rsid w:val="00C43C28"/>
    <w:rsid w:val="00C66CF9"/>
    <w:rsid w:val="00C6704B"/>
    <w:rsid w:val="00CF4BF3"/>
    <w:rsid w:val="00D96622"/>
    <w:rsid w:val="00F15316"/>
    <w:rsid w:val="00F87F63"/>
    <w:rsid w:val="00FA528A"/>
    <w:rsid w:val="00FB3FEC"/>
    <w:rsid w:val="00FC177A"/>
    <w:rsid w:val="201E1886"/>
    <w:rsid w:val="35B04F82"/>
    <w:rsid w:val="3DFE1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3656F0"/>
    <w:pPr>
      <w:keepNext/>
      <w:keepLines/>
      <w:tabs>
        <w:tab w:val="left" w:pos="480"/>
      </w:tabs>
      <w:spacing w:beforeLines="100" w:before="312" w:afterLines="50" w:after="156" w:line="360" w:lineRule="auto"/>
      <w:ind w:firstLineChars="200" w:firstLine="200"/>
      <w:jc w:val="left"/>
      <w:outlineLvl w:val="0"/>
    </w:pPr>
    <w:rPr>
      <w:rFonts w:ascii="Calibri" w:eastAsia="黑体" w:hAnsi="Calibri" w:cs="Times New Roman"/>
      <w:b/>
      <w:bCs/>
      <w:kern w:val="44"/>
      <w:sz w:val="30"/>
      <w:szCs w:val="44"/>
      <w:lang w:val="x-none" w:eastAsia="x-none"/>
    </w:rPr>
  </w:style>
  <w:style w:type="paragraph" w:styleId="2">
    <w:name w:val="heading 2"/>
    <w:basedOn w:val="a"/>
    <w:next w:val="a"/>
    <w:link w:val="2Char"/>
    <w:uiPriority w:val="9"/>
    <w:qFormat/>
    <w:rsid w:val="003656F0"/>
    <w:pPr>
      <w:keepNext/>
      <w:keepLines/>
      <w:spacing w:beforeLines="50" w:before="156" w:afterLines="50" w:after="156" w:line="400" w:lineRule="atLeast"/>
      <w:ind w:firstLineChars="200" w:firstLine="200"/>
      <w:outlineLvl w:val="1"/>
    </w:pPr>
    <w:rPr>
      <w:rFonts w:ascii="Arial" w:eastAsia="宋体" w:hAnsi="Arial" w:cs="Times New Roman"/>
      <w:b/>
      <w:bCs/>
      <w:kern w:val="0"/>
      <w:sz w:val="24"/>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uiPriority w:val="99"/>
    <w:rsid w:val="008278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2787A"/>
    <w:rPr>
      <w:rFonts w:asciiTheme="minorHAnsi" w:eastAsiaTheme="minorEastAsia" w:hAnsiTheme="minorHAnsi" w:cstheme="minorBidi"/>
      <w:kern w:val="2"/>
      <w:sz w:val="18"/>
      <w:szCs w:val="18"/>
    </w:rPr>
  </w:style>
  <w:style w:type="paragraph" w:styleId="a6">
    <w:name w:val="footer"/>
    <w:basedOn w:val="a"/>
    <w:link w:val="Char0"/>
    <w:uiPriority w:val="99"/>
    <w:rsid w:val="0082787A"/>
    <w:pPr>
      <w:tabs>
        <w:tab w:val="center" w:pos="4153"/>
        <w:tab w:val="right" w:pos="8306"/>
      </w:tabs>
      <w:snapToGrid w:val="0"/>
      <w:jc w:val="left"/>
    </w:pPr>
    <w:rPr>
      <w:sz w:val="18"/>
      <w:szCs w:val="18"/>
    </w:rPr>
  </w:style>
  <w:style w:type="character" w:customStyle="1" w:styleId="Char0">
    <w:name w:val="页脚 Char"/>
    <w:basedOn w:val="a0"/>
    <w:link w:val="a6"/>
    <w:uiPriority w:val="99"/>
    <w:rsid w:val="0082787A"/>
    <w:rPr>
      <w:rFonts w:asciiTheme="minorHAnsi" w:eastAsiaTheme="minorEastAsia" w:hAnsiTheme="minorHAnsi" w:cstheme="minorBidi"/>
      <w:kern w:val="2"/>
      <w:sz w:val="18"/>
      <w:szCs w:val="18"/>
    </w:rPr>
  </w:style>
  <w:style w:type="paragraph" w:styleId="a7">
    <w:name w:val="Balloon Text"/>
    <w:basedOn w:val="a"/>
    <w:link w:val="Char1"/>
    <w:uiPriority w:val="99"/>
    <w:rsid w:val="004D7B69"/>
    <w:rPr>
      <w:sz w:val="18"/>
      <w:szCs w:val="18"/>
    </w:rPr>
  </w:style>
  <w:style w:type="character" w:customStyle="1" w:styleId="Char1">
    <w:name w:val="批注框文本 Char"/>
    <w:basedOn w:val="a0"/>
    <w:link w:val="a7"/>
    <w:uiPriority w:val="99"/>
    <w:rsid w:val="004D7B69"/>
    <w:rPr>
      <w:rFonts w:asciiTheme="minorHAnsi" w:eastAsiaTheme="minorEastAsia" w:hAnsiTheme="minorHAnsi" w:cstheme="minorBidi"/>
      <w:kern w:val="2"/>
      <w:sz w:val="18"/>
      <w:szCs w:val="18"/>
    </w:rPr>
  </w:style>
  <w:style w:type="character" w:customStyle="1" w:styleId="1Char">
    <w:name w:val="标题 1 Char"/>
    <w:basedOn w:val="a0"/>
    <w:link w:val="1"/>
    <w:uiPriority w:val="9"/>
    <w:rsid w:val="003656F0"/>
    <w:rPr>
      <w:rFonts w:ascii="Calibri" w:eastAsia="黑体" w:hAnsi="Calibri"/>
      <w:b/>
      <w:bCs/>
      <w:kern w:val="44"/>
      <w:sz w:val="30"/>
      <w:szCs w:val="44"/>
      <w:lang w:val="x-none" w:eastAsia="x-none"/>
    </w:rPr>
  </w:style>
  <w:style w:type="character" w:customStyle="1" w:styleId="2Char">
    <w:name w:val="标题 2 Char"/>
    <w:basedOn w:val="a0"/>
    <w:link w:val="2"/>
    <w:uiPriority w:val="9"/>
    <w:rsid w:val="003656F0"/>
    <w:rPr>
      <w:rFonts w:ascii="Arial" w:hAnsi="Arial"/>
      <w:b/>
      <w:bCs/>
      <w:sz w:val="24"/>
      <w:szCs w:val="32"/>
      <w:lang w:val="x-none" w:eastAsia="x-none"/>
    </w:rPr>
  </w:style>
  <w:style w:type="character" w:styleId="a8">
    <w:name w:val="annotation reference"/>
    <w:rsid w:val="003656F0"/>
    <w:rPr>
      <w:sz w:val="21"/>
      <w:szCs w:val="21"/>
    </w:rPr>
  </w:style>
  <w:style w:type="character" w:styleId="a9">
    <w:name w:val="endnote reference"/>
    <w:rsid w:val="003656F0"/>
    <w:rPr>
      <w:vertAlign w:val="superscript"/>
    </w:rPr>
  </w:style>
  <w:style w:type="character" w:styleId="aa">
    <w:name w:val="page number"/>
    <w:basedOn w:val="a0"/>
    <w:rsid w:val="003656F0"/>
  </w:style>
  <w:style w:type="character" w:customStyle="1" w:styleId="Char2">
    <w:name w:val="标题 Char"/>
    <w:link w:val="ab"/>
    <w:rsid w:val="003656F0"/>
    <w:rPr>
      <w:rFonts w:ascii="Cambria" w:hAnsi="Cambria"/>
      <w:b/>
      <w:bCs/>
      <w:sz w:val="32"/>
      <w:szCs w:val="32"/>
    </w:rPr>
  </w:style>
  <w:style w:type="character" w:customStyle="1" w:styleId="Char3">
    <w:name w:val="脚注文本 Char"/>
    <w:link w:val="ac"/>
    <w:rsid w:val="003656F0"/>
    <w:rPr>
      <w:rFonts w:ascii="Calibri" w:hAnsi="Calibri"/>
      <w:sz w:val="18"/>
      <w:szCs w:val="18"/>
    </w:rPr>
  </w:style>
  <w:style w:type="character" w:customStyle="1" w:styleId="Char4">
    <w:name w:val="尾注文本 Char"/>
    <w:link w:val="ad"/>
    <w:rsid w:val="003656F0"/>
    <w:rPr>
      <w:rFonts w:ascii="Calibri" w:hAnsi="Calibri"/>
    </w:rPr>
  </w:style>
  <w:style w:type="character" w:customStyle="1" w:styleId="Char5">
    <w:name w:val="批注文字 Char"/>
    <w:link w:val="ae"/>
    <w:rsid w:val="003656F0"/>
    <w:rPr>
      <w:rFonts w:ascii="Calibri" w:hAnsi="Calibri"/>
    </w:rPr>
  </w:style>
  <w:style w:type="character" w:customStyle="1" w:styleId="Char6">
    <w:name w:val="批注主题 Char"/>
    <w:link w:val="af"/>
    <w:rsid w:val="003656F0"/>
    <w:rPr>
      <w:rFonts w:ascii="Calibri" w:hAnsi="Calibri"/>
      <w:b/>
      <w:bCs/>
    </w:rPr>
  </w:style>
  <w:style w:type="character" w:customStyle="1" w:styleId="Char7">
    <w:name w:val="文档结构图 Char"/>
    <w:link w:val="af0"/>
    <w:uiPriority w:val="99"/>
    <w:rsid w:val="003656F0"/>
    <w:rPr>
      <w:rFonts w:ascii="宋体" w:hAnsi="Calibri"/>
      <w:sz w:val="18"/>
      <w:szCs w:val="18"/>
    </w:rPr>
  </w:style>
  <w:style w:type="character" w:customStyle="1" w:styleId="Char10">
    <w:name w:val="页眉 Char1"/>
    <w:uiPriority w:val="99"/>
    <w:semiHidden/>
    <w:rsid w:val="003656F0"/>
    <w:rPr>
      <w:rFonts w:ascii="Calibri" w:eastAsia="宋体" w:hAnsi="Calibri" w:cs="Times New Roman"/>
      <w:sz w:val="18"/>
      <w:szCs w:val="18"/>
    </w:rPr>
  </w:style>
  <w:style w:type="paragraph" w:styleId="af0">
    <w:name w:val="Document Map"/>
    <w:basedOn w:val="a"/>
    <w:link w:val="Char7"/>
    <w:uiPriority w:val="99"/>
    <w:rsid w:val="003656F0"/>
    <w:pPr>
      <w:spacing w:beforeLines="50" w:before="156" w:afterLines="50" w:after="156" w:line="340" w:lineRule="exact"/>
      <w:ind w:firstLineChars="200" w:firstLine="200"/>
    </w:pPr>
    <w:rPr>
      <w:rFonts w:ascii="宋体" w:eastAsia="宋体" w:hAnsi="Calibri" w:cs="Times New Roman"/>
      <w:kern w:val="0"/>
      <w:sz w:val="18"/>
      <w:szCs w:val="18"/>
    </w:rPr>
  </w:style>
  <w:style w:type="character" w:customStyle="1" w:styleId="Char11">
    <w:name w:val="文档结构图 Char1"/>
    <w:basedOn w:val="a0"/>
    <w:uiPriority w:val="99"/>
    <w:semiHidden/>
    <w:rsid w:val="003656F0"/>
    <w:rPr>
      <w:rFonts w:ascii="宋体" w:hAnsiTheme="minorHAnsi" w:cstheme="minorBidi"/>
      <w:kern w:val="2"/>
      <w:sz w:val="18"/>
      <w:szCs w:val="18"/>
    </w:rPr>
  </w:style>
  <w:style w:type="paragraph" w:styleId="ab">
    <w:name w:val="Title"/>
    <w:basedOn w:val="a"/>
    <w:next w:val="a"/>
    <w:link w:val="Char2"/>
    <w:qFormat/>
    <w:rsid w:val="003656F0"/>
    <w:pPr>
      <w:spacing w:before="240" w:after="60" w:line="340" w:lineRule="exact"/>
      <w:ind w:firstLineChars="200" w:firstLine="200"/>
      <w:jc w:val="center"/>
      <w:outlineLvl w:val="0"/>
    </w:pPr>
    <w:rPr>
      <w:rFonts w:ascii="Cambria" w:eastAsia="宋体" w:hAnsi="Cambria" w:cs="Times New Roman"/>
      <w:b/>
      <w:bCs/>
      <w:kern w:val="0"/>
      <w:sz w:val="32"/>
      <w:szCs w:val="32"/>
    </w:rPr>
  </w:style>
  <w:style w:type="character" w:customStyle="1" w:styleId="Char12">
    <w:name w:val="标题 Char1"/>
    <w:basedOn w:val="a0"/>
    <w:uiPriority w:val="10"/>
    <w:rsid w:val="003656F0"/>
    <w:rPr>
      <w:rFonts w:asciiTheme="majorHAnsi" w:hAnsiTheme="majorHAnsi" w:cstheme="majorBidi"/>
      <w:b/>
      <w:bCs/>
      <w:kern w:val="2"/>
      <w:sz w:val="32"/>
      <w:szCs w:val="32"/>
    </w:rPr>
  </w:style>
  <w:style w:type="paragraph" w:styleId="ae">
    <w:name w:val="annotation text"/>
    <w:basedOn w:val="a"/>
    <w:link w:val="Char5"/>
    <w:rsid w:val="003656F0"/>
    <w:pPr>
      <w:spacing w:beforeLines="50" w:before="156" w:afterLines="50" w:after="156" w:line="340" w:lineRule="exact"/>
      <w:ind w:firstLineChars="200" w:firstLine="200"/>
      <w:jc w:val="left"/>
    </w:pPr>
    <w:rPr>
      <w:rFonts w:ascii="Calibri" w:eastAsia="宋体" w:hAnsi="Calibri" w:cs="Times New Roman"/>
      <w:kern w:val="0"/>
      <w:sz w:val="20"/>
      <w:szCs w:val="20"/>
    </w:rPr>
  </w:style>
  <w:style w:type="character" w:customStyle="1" w:styleId="Char13">
    <w:name w:val="批注文字 Char1"/>
    <w:basedOn w:val="a0"/>
    <w:uiPriority w:val="99"/>
    <w:semiHidden/>
    <w:rsid w:val="003656F0"/>
    <w:rPr>
      <w:rFonts w:asciiTheme="minorHAnsi" w:eastAsiaTheme="minorEastAsia" w:hAnsiTheme="minorHAnsi" w:cstheme="minorBidi"/>
      <w:kern w:val="2"/>
      <w:sz w:val="21"/>
      <w:szCs w:val="24"/>
    </w:rPr>
  </w:style>
  <w:style w:type="paragraph" w:styleId="ad">
    <w:name w:val="endnote text"/>
    <w:basedOn w:val="a"/>
    <w:link w:val="Char4"/>
    <w:rsid w:val="003656F0"/>
    <w:pPr>
      <w:snapToGrid w:val="0"/>
      <w:spacing w:beforeLines="50" w:before="156" w:afterLines="50" w:after="156" w:line="340" w:lineRule="exact"/>
      <w:ind w:firstLineChars="200" w:firstLine="200"/>
      <w:jc w:val="left"/>
    </w:pPr>
    <w:rPr>
      <w:rFonts w:ascii="Calibri" w:eastAsia="宋体" w:hAnsi="Calibri" w:cs="Times New Roman"/>
      <w:kern w:val="0"/>
      <w:sz w:val="20"/>
      <w:szCs w:val="20"/>
    </w:rPr>
  </w:style>
  <w:style w:type="character" w:customStyle="1" w:styleId="Char14">
    <w:name w:val="尾注文本 Char1"/>
    <w:basedOn w:val="a0"/>
    <w:uiPriority w:val="99"/>
    <w:semiHidden/>
    <w:rsid w:val="003656F0"/>
    <w:rPr>
      <w:rFonts w:asciiTheme="minorHAnsi" w:eastAsiaTheme="minorEastAsia" w:hAnsiTheme="minorHAnsi" w:cstheme="minorBidi"/>
      <w:kern w:val="2"/>
      <w:sz w:val="21"/>
      <w:szCs w:val="24"/>
    </w:rPr>
  </w:style>
  <w:style w:type="paragraph" w:styleId="af">
    <w:name w:val="annotation subject"/>
    <w:basedOn w:val="ae"/>
    <w:next w:val="ae"/>
    <w:link w:val="Char6"/>
    <w:rsid w:val="003656F0"/>
    <w:rPr>
      <w:b/>
      <w:bCs/>
    </w:rPr>
  </w:style>
  <w:style w:type="character" w:customStyle="1" w:styleId="Char15">
    <w:name w:val="批注主题 Char1"/>
    <w:basedOn w:val="Char13"/>
    <w:uiPriority w:val="99"/>
    <w:semiHidden/>
    <w:rsid w:val="003656F0"/>
    <w:rPr>
      <w:rFonts w:asciiTheme="minorHAnsi" w:eastAsiaTheme="minorEastAsia" w:hAnsiTheme="minorHAnsi" w:cstheme="minorBidi"/>
      <w:b/>
      <w:bCs/>
      <w:kern w:val="2"/>
      <w:sz w:val="21"/>
      <w:szCs w:val="24"/>
    </w:rPr>
  </w:style>
  <w:style w:type="character" w:customStyle="1" w:styleId="Char16">
    <w:name w:val="页脚 Char1"/>
    <w:uiPriority w:val="99"/>
    <w:semiHidden/>
    <w:rsid w:val="003656F0"/>
    <w:rPr>
      <w:rFonts w:ascii="Calibri" w:eastAsia="宋体" w:hAnsi="Calibri" w:cs="Times New Roman"/>
      <w:sz w:val="18"/>
      <w:szCs w:val="18"/>
    </w:rPr>
  </w:style>
  <w:style w:type="character" w:customStyle="1" w:styleId="Char17">
    <w:name w:val="批注框文本 Char1"/>
    <w:uiPriority w:val="99"/>
    <w:semiHidden/>
    <w:rsid w:val="003656F0"/>
    <w:rPr>
      <w:rFonts w:ascii="Calibri" w:eastAsia="宋体" w:hAnsi="Calibri" w:cs="Times New Roman"/>
      <w:sz w:val="18"/>
      <w:szCs w:val="18"/>
    </w:rPr>
  </w:style>
  <w:style w:type="paragraph" w:styleId="ac">
    <w:name w:val="footnote text"/>
    <w:basedOn w:val="a"/>
    <w:link w:val="Char3"/>
    <w:rsid w:val="003656F0"/>
    <w:pPr>
      <w:snapToGrid w:val="0"/>
      <w:spacing w:beforeLines="50" w:before="156" w:afterLines="50" w:after="156" w:line="340" w:lineRule="exact"/>
      <w:ind w:firstLineChars="200" w:firstLine="200"/>
      <w:jc w:val="left"/>
    </w:pPr>
    <w:rPr>
      <w:rFonts w:ascii="Calibri" w:eastAsia="宋体" w:hAnsi="Calibri" w:cs="Times New Roman"/>
      <w:kern w:val="0"/>
      <w:sz w:val="18"/>
      <w:szCs w:val="18"/>
    </w:rPr>
  </w:style>
  <w:style w:type="character" w:customStyle="1" w:styleId="Char18">
    <w:name w:val="脚注文本 Char1"/>
    <w:basedOn w:val="a0"/>
    <w:uiPriority w:val="99"/>
    <w:semiHidden/>
    <w:rsid w:val="003656F0"/>
    <w:rPr>
      <w:rFonts w:asciiTheme="minorHAnsi" w:eastAsiaTheme="minorEastAsia" w:hAnsiTheme="minorHAnsi" w:cstheme="minorBidi"/>
      <w:kern w:val="2"/>
      <w:sz w:val="18"/>
      <w:szCs w:val="18"/>
    </w:rPr>
  </w:style>
  <w:style w:type="paragraph" w:styleId="af1">
    <w:name w:val="List Paragraph"/>
    <w:basedOn w:val="a"/>
    <w:uiPriority w:val="34"/>
    <w:qFormat/>
    <w:rsid w:val="003656F0"/>
    <w:pPr>
      <w:spacing w:beforeLines="50" w:before="156" w:afterLines="50" w:after="156" w:line="340" w:lineRule="exact"/>
      <w:ind w:firstLineChars="200" w:firstLine="420"/>
    </w:pPr>
    <w:rPr>
      <w:rFonts w:ascii="Calibri" w:eastAsia="宋体" w:hAnsi="Calibri" w:cs="Times New Roman"/>
      <w:sz w:val="24"/>
      <w:szCs w:val="22"/>
    </w:rPr>
  </w:style>
  <w:style w:type="character" w:styleId="af2">
    <w:name w:val="footnote reference"/>
    <w:uiPriority w:val="99"/>
    <w:semiHidden/>
    <w:unhideWhenUsed/>
    <w:rsid w:val="003656F0"/>
    <w:rPr>
      <w:vertAlign w:val="superscript"/>
    </w:rPr>
  </w:style>
  <w:style w:type="table" w:styleId="af3">
    <w:name w:val="Table Grid"/>
    <w:basedOn w:val="a1"/>
    <w:uiPriority w:val="59"/>
    <w:rsid w:val="003656F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3656F0"/>
    <w:rPr>
      <w:rFonts w:ascii="Calibri" w:hAnsi="Calibri"/>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3656F0"/>
    <w:pPr>
      <w:keepNext/>
      <w:keepLines/>
      <w:tabs>
        <w:tab w:val="left" w:pos="480"/>
      </w:tabs>
      <w:spacing w:beforeLines="100" w:before="312" w:afterLines="50" w:after="156" w:line="360" w:lineRule="auto"/>
      <w:ind w:firstLineChars="200" w:firstLine="200"/>
      <w:jc w:val="left"/>
      <w:outlineLvl w:val="0"/>
    </w:pPr>
    <w:rPr>
      <w:rFonts w:ascii="Calibri" w:eastAsia="黑体" w:hAnsi="Calibri" w:cs="Times New Roman"/>
      <w:b/>
      <w:bCs/>
      <w:kern w:val="44"/>
      <w:sz w:val="30"/>
      <w:szCs w:val="44"/>
      <w:lang w:val="x-none" w:eastAsia="x-none"/>
    </w:rPr>
  </w:style>
  <w:style w:type="paragraph" w:styleId="2">
    <w:name w:val="heading 2"/>
    <w:basedOn w:val="a"/>
    <w:next w:val="a"/>
    <w:link w:val="2Char"/>
    <w:uiPriority w:val="9"/>
    <w:qFormat/>
    <w:rsid w:val="003656F0"/>
    <w:pPr>
      <w:keepNext/>
      <w:keepLines/>
      <w:spacing w:beforeLines="50" w:before="156" w:afterLines="50" w:after="156" w:line="400" w:lineRule="atLeast"/>
      <w:ind w:firstLineChars="200" w:firstLine="200"/>
      <w:outlineLvl w:val="1"/>
    </w:pPr>
    <w:rPr>
      <w:rFonts w:ascii="Arial" w:eastAsia="宋体" w:hAnsi="Arial" w:cs="Times New Roman"/>
      <w:b/>
      <w:bCs/>
      <w:kern w:val="0"/>
      <w:sz w:val="24"/>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uiPriority w:val="99"/>
    <w:rsid w:val="008278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2787A"/>
    <w:rPr>
      <w:rFonts w:asciiTheme="minorHAnsi" w:eastAsiaTheme="minorEastAsia" w:hAnsiTheme="minorHAnsi" w:cstheme="minorBidi"/>
      <w:kern w:val="2"/>
      <w:sz w:val="18"/>
      <w:szCs w:val="18"/>
    </w:rPr>
  </w:style>
  <w:style w:type="paragraph" w:styleId="a6">
    <w:name w:val="footer"/>
    <w:basedOn w:val="a"/>
    <w:link w:val="Char0"/>
    <w:uiPriority w:val="99"/>
    <w:rsid w:val="0082787A"/>
    <w:pPr>
      <w:tabs>
        <w:tab w:val="center" w:pos="4153"/>
        <w:tab w:val="right" w:pos="8306"/>
      </w:tabs>
      <w:snapToGrid w:val="0"/>
      <w:jc w:val="left"/>
    </w:pPr>
    <w:rPr>
      <w:sz w:val="18"/>
      <w:szCs w:val="18"/>
    </w:rPr>
  </w:style>
  <w:style w:type="character" w:customStyle="1" w:styleId="Char0">
    <w:name w:val="页脚 Char"/>
    <w:basedOn w:val="a0"/>
    <w:link w:val="a6"/>
    <w:uiPriority w:val="99"/>
    <w:rsid w:val="0082787A"/>
    <w:rPr>
      <w:rFonts w:asciiTheme="minorHAnsi" w:eastAsiaTheme="minorEastAsia" w:hAnsiTheme="minorHAnsi" w:cstheme="minorBidi"/>
      <w:kern w:val="2"/>
      <w:sz w:val="18"/>
      <w:szCs w:val="18"/>
    </w:rPr>
  </w:style>
  <w:style w:type="paragraph" w:styleId="a7">
    <w:name w:val="Balloon Text"/>
    <w:basedOn w:val="a"/>
    <w:link w:val="Char1"/>
    <w:uiPriority w:val="99"/>
    <w:rsid w:val="004D7B69"/>
    <w:rPr>
      <w:sz w:val="18"/>
      <w:szCs w:val="18"/>
    </w:rPr>
  </w:style>
  <w:style w:type="character" w:customStyle="1" w:styleId="Char1">
    <w:name w:val="批注框文本 Char"/>
    <w:basedOn w:val="a0"/>
    <w:link w:val="a7"/>
    <w:uiPriority w:val="99"/>
    <w:rsid w:val="004D7B69"/>
    <w:rPr>
      <w:rFonts w:asciiTheme="minorHAnsi" w:eastAsiaTheme="minorEastAsia" w:hAnsiTheme="minorHAnsi" w:cstheme="minorBidi"/>
      <w:kern w:val="2"/>
      <w:sz w:val="18"/>
      <w:szCs w:val="18"/>
    </w:rPr>
  </w:style>
  <w:style w:type="character" w:customStyle="1" w:styleId="1Char">
    <w:name w:val="标题 1 Char"/>
    <w:basedOn w:val="a0"/>
    <w:link w:val="1"/>
    <w:uiPriority w:val="9"/>
    <w:rsid w:val="003656F0"/>
    <w:rPr>
      <w:rFonts w:ascii="Calibri" w:eastAsia="黑体" w:hAnsi="Calibri"/>
      <w:b/>
      <w:bCs/>
      <w:kern w:val="44"/>
      <w:sz w:val="30"/>
      <w:szCs w:val="44"/>
      <w:lang w:val="x-none" w:eastAsia="x-none"/>
    </w:rPr>
  </w:style>
  <w:style w:type="character" w:customStyle="1" w:styleId="2Char">
    <w:name w:val="标题 2 Char"/>
    <w:basedOn w:val="a0"/>
    <w:link w:val="2"/>
    <w:uiPriority w:val="9"/>
    <w:rsid w:val="003656F0"/>
    <w:rPr>
      <w:rFonts w:ascii="Arial" w:hAnsi="Arial"/>
      <w:b/>
      <w:bCs/>
      <w:sz w:val="24"/>
      <w:szCs w:val="32"/>
      <w:lang w:val="x-none" w:eastAsia="x-none"/>
    </w:rPr>
  </w:style>
  <w:style w:type="character" w:styleId="a8">
    <w:name w:val="annotation reference"/>
    <w:rsid w:val="003656F0"/>
    <w:rPr>
      <w:sz w:val="21"/>
      <w:szCs w:val="21"/>
    </w:rPr>
  </w:style>
  <w:style w:type="character" w:styleId="a9">
    <w:name w:val="endnote reference"/>
    <w:rsid w:val="003656F0"/>
    <w:rPr>
      <w:vertAlign w:val="superscript"/>
    </w:rPr>
  </w:style>
  <w:style w:type="character" w:styleId="aa">
    <w:name w:val="page number"/>
    <w:basedOn w:val="a0"/>
    <w:rsid w:val="003656F0"/>
  </w:style>
  <w:style w:type="character" w:customStyle="1" w:styleId="Char2">
    <w:name w:val="标题 Char"/>
    <w:link w:val="ab"/>
    <w:rsid w:val="003656F0"/>
    <w:rPr>
      <w:rFonts w:ascii="Cambria" w:hAnsi="Cambria"/>
      <w:b/>
      <w:bCs/>
      <w:sz w:val="32"/>
      <w:szCs w:val="32"/>
    </w:rPr>
  </w:style>
  <w:style w:type="character" w:customStyle="1" w:styleId="Char3">
    <w:name w:val="脚注文本 Char"/>
    <w:link w:val="ac"/>
    <w:rsid w:val="003656F0"/>
    <w:rPr>
      <w:rFonts w:ascii="Calibri" w:hAnsi="Calibri"/>
      <w:sz w:val="18"/>
      <w:szCs w:val="18"/>
    </w:rPr>
  </w:style>
  <w:style w:type="character" w:customStyle="1" w:styleId="Char4">
    <w:name w:val="尾注文本 Char"/>
    <w:link w:val="ad"/>
    <w:rsid w:val="003656F0"/>
    <w:rPr>
      <w:rFonts w:ascii="Calibri" w:hAnsi="Calibri"/>
    </w:rPr>
  </w:style>
  <w:style w:type="character" w:customStyle="1" w:styleId="Char5">
    <w:name w:val="批注文字 Char"/>
    <w:link w:val="ae"/>
    <w:rsid w:val="003656F0"/>
    <w:rPr>
      <w:rFonts w:ascii="Calibri" w:hAnsi="Calibri"/>
    </w:rPr>
  </w:style>
  <w:style w:type="character" w:customStyle="1" w:styleId="Char6">
    <w:name w:val="批注主题 Char"/>
    <w:link w:val="af"/>
    <w:rsid w:val="003656F0"/>
    <w:rPr>
      <w:rFonts w:ascii="Calibri" w:hAnsi="Calibri"/>
      <w:b/>
      <w:bCs/>
    </w:rPr>
  </w:style>
  <w:style w:type="character" w:customStyle="1" w:styleId="Char7">
    <w:name w:val="文档结构图 Char"/>
    <w:link w:val="af0"/>
    <w:uiPriority w:val="99"/>
    <w:rsid w:val="003656F0"/>
    <w:rPr>
      <w:rFonts w:ascii="宋体" w:hAnsi="Calibri"/>
      <w:sz w:val="18"/>
      <w:szCs w:val="18"/>
    </w:rPr>
  </w:style>
  <w:style w:type="character" w:customStyle="1" w:styleId="Char10">
    <w:name w:val="页眉 Char1"/>
    <w:uiPriority w:val="99"/>
    <w:semiHidden/>
    <w:rsid w:val="003656F0"/>
    <w:rPr>
      <w:rFonts w:ascii="Calibri" w:eastAsia="宋体" w:hAnsi="Calibri" w:cs="Times New Roman"/>
      <w:sz w:val="18"/>
      <w:szCs w:val="18"/>
    </w:rPr>
  </w:style>
  <w:style w:type="paragraph" w:styleId="af0">
    <w:name w:val="Document Map"/>
    <w:basedOn w:val="a"/>
    <w:link w:val="Char7"/>
    <w:uiPriority w:val="99"/>
    <w:rsid w:val="003656F0"/>
    <w:pPr>
      <w:spacing w:beforeLines="50" w:before="156" w:afterLines="50" w:after="156" w:line="340" w:lineRule="exact"/>
      <w:ind w:firstLineChars="200" w:firstLine="200"/>
    </w:pPr>
    <w:rPr>
      <w:rFonts w:ascii="宋体" w:eastAsia="宋体" w:hAnsi="Calibri" w:cs="Times New Roman"/>
      <w:kern w:val="0"/>
      <w:sz w:val="18"/>
      <w:szCs w:val="18"/>
    </w:rPr>
  </w:style>
  <w:style w:type="character" w:customStyle="1" w:styleId="Char11">
    <w:name w:val="文档结构图 Char1"/>
    <w:basedOn w:val="a0"/>
    <w:uiPriority w:val="99"/>
    <w:semiHidden/>
    <w:rsid w:val="003656F0"/>
    <w:rPr>
      <w:rFonts w:ascii="宋体" w:hAnsiTheme="minorHAnsi" w:cstheme="minorBidi"/>
      <w:kern w:val="2"/>
      <w:sz w:val="18"/>
      <w:szCs w:val="18"/>
    </w:rPr>
  </w:style>
  <w:style w:type="paragraph" w:styleId="ab">
    <w:name w:val="Title"/>
    <w:basedOn w:val="a"/>
    <w:next w:val="a"/>
    <w:link w:val="Char2"/>
    <w:qFormat/>
    <w:rsid w:val="003656F0"/>
    <w:pPr>
      <w:spacing w:before="240" w:after="60" w:line="340" w:lineRule="exact"/>
      <w:ind w:firstLineChars="200" w:firstLine="200"/>
      <w:jc w:val="center"/>
      <w:outlineLvl w:val="0"/>
    </w:pPr>
    <w:rPr>
      <w:rFonts w:ascii="Cambria" w:eastAsia="宋体" w:hAnsi="Cambria" w:cs="Times New Roman"/>
      <w:b/>
      <w:bCs/>
      <w:kern w:val="0"/>
      <w:sz w:val="32"/>
      <w:szCs w:val="32"/>
    </w:rPr>
  </w:style>
  <w:style w:type="character" w:customStyle="1" w:styleId="Char12">
    <w:name w:val="标题 Char1"/>
    <w:basedOn w:val="a0"/>
    <w:uiPriority w:val="10"/>
    <w:rsid w:val="003656F0"/>
    <w:rPr>
      <w:rFonts w:asciiTheme="majorHAnsi" w:hAnsiTheme="majorHAnsi" w:cstheme="majorBidi"/>
      <w:b/>
      <w:bCs/>
      <w:kern w:val="2"/>
      <w:sz w:val="32"/>
      <w:szCs w:val="32"/>
    </w:rPr>
  </w:style>
  <w:style w:type="paragraph" w:styleId="ae">
    <w:name w:val="annotation text"/>
    <w:basedOn w:val="a"/>
    <w:link w:val="Char5"/>
    <w:rsid w:val="003656F0"/>
    <w:pPr>
      <w:spacing w:beforeLines="50" w:before="156" w:afterLines="50" w:after="156" w:line="340" w:lineRule="exact"/>
      <w:ind w:firstLineChars="200" w:firstLine="200"/>
      <w:jc w:val="left"/>
    </w:pPr>
    <w:rPr>
      <w:rFonts w:ascii="Calibri" w:eastAsia="宋体" w:hAnsi="Calibri" w:cs="Times New Roman"/>
      <w:kern w:val="0"/>
      <w:sz w:val="20"/>
      <w:szCs w:val="20"/>
    </w:rPr>
  </w:style>
  <w:style w:type="character" w:customStyle="1" w:styleId="Char13">
    <w:name w:val="批注文字 Char1"/>
    <w:basedOn w:val="a0"/>
    <w:uiPriority w:val="99"/>
    <w:semiHidden/>
    <w:rsid w:val="003656F0"/>
    <w:rPr>
      <w:rFonts w:asciiTheme="minorHAnsi" w:eastAsiaTheme="minorEastAsia" w:hAnsiTheme="minorHAnsi" w:cstheme="minorBidi"/>
      <w:kern w:val="2"/>
      <w:sz w:val="21"/>
      <w:szCs w:val="24"/>
    </w:rPr>
  </w:style>
  <w:style w:type="paragraph" w:styleId="ad">
    <w:name w:val="endnote text"/>
    <w:basedOn w:val="a"/>
    <w:link w:val="Char4"/>
    <w:rsid w:val="003656F0"/>
    <w:pPr>
      <w:snapToGrid w:val="0"/>
      <w:spacing w:beforeLines="50" w:before="156" w:afterLines="50" w:after="156" w:line="340" w:lineRule="exact"/>
      <w:ind w:firstLineChars="200" w:firstLine="200"/>
      <w:jc w:val="left"/>
    </w:pPr>
    <w:rPr>
      <w:rFonts w:ascii="Calibri" w:eastAsia="宋体" w:hAnsi="Calibri" w:cs="Times New Roman"/>
      <w:kern w:val="0"/>
      <w:sz w:val="20"/>
      <w:szCs w:val="20"/>
    </w:rPr>
  </w:style>
  <w:style w:type="character" w:customStyle="1" w:styleId="Char14">
    <w:name w:val="尾注文本 Char1"/>
    <w:basedOn w:val="a0"/>
    <w:uiPriority w:val="99"/>
    <w:semiHidden/>
    <w:rsid w:val="003656F0"/>
    <w:rPr>
      <w:rFonts w:asciiTheme="minorHAnsi" w:eastAsiaTheme="minorEastAsia" w:hAnsiTheme="minorHAnsi" w:cstheme="minorBidi"/>
      <w:kern w:val="2"/>
      <w:sz w:val="21"/>
      <w:szCs w:val="24"/>
    </w:rPr>
  </w:style>
  <w:style w:type="paragraph" w:styleId="af">
    <w:name w:val="annotation subject"/>
    <w:basedOn w:val="ae"/>
    <w:next w:val="ae"/>
    <w:link w:val="Char6"/>
    <w:rsid w:val="003656F0"/>
    <w:rPr>
      <w:b/>
      <w:bCs/>
    </w:rPr>
  </w:style>
  <w:style w:type="character" w:customStyle="1" w:styleId="Char15">
    <w:name w:val="批注主题 Char1"/>
    <w:basedOn w:val="Char13"/>
    <w:uiPriority w:val="99"/>
    <w:semiHidden/>
    <w:rsid w:val="003656F0"/>
    <w:rPr>
      <w:rFonts w:asciiTheme="minorHAnsi" w:eastAsiaTheme="minorEastAsia" w:hAnsiTheme="minorHAnsi" w:cstheme="minorBidi"/>
      <w:b/>
      <w:bCs/>
      <w:kern w:val="2"/>
      <w:sz w:val="21"/>
      <w:szCs w:val="24"/>
    </w:rPr>
  </w:style>
  <w:style w:type="character" w:customStyle="1" w:styleId="Char16">
    <w:name w:val="页脚 Char1"/>
    <w:uiPriority w:val="99"/>
    <w:semiHidden/>
    <w:rsid w:val="003656F0"/>
    <w:rPr>
      <w:rFonts w:ascii="Calibri" w:eastAsia="宋体" w:hAnsi="Calibri" w:cs="Times New Roman"/>
      <w:sz w:val="18"/>
      <w:szCs w:val="18"/>
    </w:rPr>
  </w:style>
  <w:style w:type="character" w:customStyle="1" w:styleId="Char17">
    <w:name w:val="批注框文本 Char1"/>
    <w:uiPriority w:val="99"/>
    <w:semiHidden/>
    <w:rsid w:val="003656F0"/>
    <w:rPr>
      <w:rFonts w:ascii="Calibri" w:eastAsia="宋体" w:hAnsi="Calibri" w:cs="Times New Roman"/>
      <w:sz w:val="18"/>
      <w:szCs w:val="18"/>
    </w:rPr>
  </w:style>
  <w:style w:type="paragraph" w:styleId="ac">
    <w:name w:val="footnote text"/>
    <w:basedOn w:val="a"/>
    <w:link w:val="Char3"/>
    <w:rsid w:val="003656F0"/>
    <w:pPr>
      <w:snapToGrid w:val="0"/>
      <w:spacing w:beforeLines="50" w:before="156" w:afterLines="50" w:after="156" w:line="340" w:lineRule="exact"/>
      <w:ind w:firstLineChars="200" w:firstLine="200"/>
      <w:jc w:val="left"/>
    </w:pPr>
    <w:rPr>
      <w:rFonts w:ascii="Calibri" w:eastAsia="宋体" w:hAnsi="Calibri" w:cs="Times New Roman"/>
      <w:kern w:val="0"/>
      <w:sz w:val="18"/>
      <w:szCs w:val="18"/>
    </w:rPr>
  </w:style>
  <w:style w:type="character" w:customStyle="1" w:styleId="Char18">
    <w:name w:val="脚注文本 Char1"/>
    <w:basedOn w:val="a0"/>
    <w:uiPriority w:val="99"/>
    <w:semiHidden/>
    <w:rsid w:val="003656F0"/>
    <w:rPr>
      <w:rFonts w:asciiTheme="minorHAnsi" w:eastAsiaTheme="minorEastAsia" w:hAnsiTheme="minorHAnsi" w:cstheme="minorBidi"/>
      <w:kern w:val="2"/>
      <w:sz w:val="18"/>
      <w:szCs w:val="18"/>
    </w:rPr>
  </w:style>
  <w:style w:type="paragraph" w:styleId="af1">
    <w:name w:val="List Paragraph"/>
    <w:basedOn w:val="a"/>
    <w:uiPriority w:val="34"/>
    <w:qFormat/>
    <w:rsid w:val="003656F0"/>
    <w:pPr>
      <w:spacing w:beforeLines="50" w:before="156" w:afterLines="50" w:after="156" w:line="340" w:lineRule="exact"/>
      <w:ind w:firstLineChars="200" w:firstLine="420"/>
    </w:pPr>
    <w:rPr>
      <w:rFonts w:ascii="Calibri" w:eastAsia="宋体" w:hAnsi="Calibri" w:cs="Times New Roman"/>
      <w:sz w:val="24"/>
      <w:szCs w:val="22"/>
    </w:rPr>
  </w:style>
  <w:style w:type="character" w:styleId="af2">
    <w:name w:val="footnote reference"/>
    <w:uiPriority w:val="99"/>
    <w:semiHidden/>
    <w:unhideWhenUsed/>
    <w:rsid w:val="003656F0"/>
    <w:rPr>
      <w:vertAlign w:val="superscript"/>
    </w:rPr>
  </w:style>
  <w:style w:type="table" w:styleId="af3">
    <w:name w:val="Table Grid"/>
    <w:basedOn w:val="a1"/>
    <w:uiPriority w:val="59"/>
    <w:rsid w:val="003656F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3656F0"/>
    <w:rPr>
      <w:rFonts w:ascii="Calibri"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F6BE59-3334-4835-A7A7-95A6A8F5A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673</Words>
  <Characters>3837</Characters>
  <Application>Microsoft Office Word</Application>
  <DocSecurity>0</DocSecurity>
  <Lines>31</Lines>
  <Paragraphs>9</Paragraphs>
  <ScaleCrop>false</ScaleCrop>
  <Company>Microsoft</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yujing</dc:creator>
  <cp:lastModifiedBy>Administrator</cp:lastModifiedBy>
  <cp:revision>3</cp:revision>
  <cp:lastPrinted>2018-08-13T01:53:00Z</cp:lastPrinted>
  <dcterms:created xsi:type="dcterms:W3CDTF">2018-08-14T10:38:00Z</dcterms:created>
  <dcterms:modified xsi:type="dcterms:W3CDTF">2018-08-16T07:07:00Z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