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882C" w14:textId="77777777" w:rsidR="000B118B" w:rsidRPr="000B118B" w:rsidRDefault="000B118B" w:rsidP="000B118B">
      <w:pPr>
        <w:widowControl/>
        <w:shd w:val="clear" w:color="auto" w:fill="FFFFFF"/>
        <w:spacing w:line="375" w:lineRule="atLeast"/>
        <w:jc w:val="left"/>
        <w:rPr>
          <w:rFonts w:ascii="微软雅黑" w:eastAsia="微软雅黑" w:hAnsi="微软雅黑" w:cs="宋体"/>
          <w:color w:val="4A4A4A"/>
          <w:kern w:val="0"/>
          <w:szCs w:val="21"/>
        </w:rPr>
      </w:pPr>
      <w:r w:rsidRPr="000B118B">
        <w:rPr>
          <w:rFonts w:ascii="微软雅黑" w:eastAsia="微软雅黑" w:hAnsi="微软雅黑" w:cs="宋体" w:hint="eastAsia"/>
          <w:color w:val="000000"/>
          <w:kern w:val="0"/>
          <w:szCs w:val="21"/>
        </w:rPr>
        <w:t>索 引 号：</w:t>
      </w:r>
      <w:r w:rsidRPr="000B118B">
        <w:rPr>
          <w:rFonts w:ascii="微软雅黑" w:eastAsia="微软雅黑" w:hAnsi="微软雅黑" w:cs="宋体" w:hint="eastAsia"/>
          <w:color w:val="4A4A4A"/>
          <w:kern w:val="0"/>
          <w:szCs w:val="21"/>
        </w:rPr>
        <w:t>043000-10-2015-006833</w:t>
      </w:r>
    </w:p>
    <w:p w14:paraId="4D53ADD7" w14:textId="77777777" w:rsidR="000B118B" w:rsidRPr="000B118B" w:rsidRDefault="000B118B" w:rsidP="000B118B">
      <w:pPr>
        <w:widowControl/>
        <w:shd w:val="clear" w:color="auto" w:fill="FFFFFF"/>
        <w:spacing w:line="375" w:lineRule="atLeast"/>
        <w:jc w:val="left"/>
        <w:rPr>
          <w:rFonts w:ascii="微软雅黑" w:eastAsia="微软雅黑" w:hAnsi="微软雅黑" w:cs="宋体" w:hint="eastAsia"/>
          <w:color w:val="4A4A4A"/>
          <w:kern w:val="0"/>
          <w:szCs w:val="21"/>
        </w:rPr>
      </w:pPr>
      <w:r w:rsidRPr="000B118B">
        <w:rPr>
          <w:rFonts w:ascii="微软雅黑" w:eastAsia="微软雅黑" w:hAnsi="微软雅黑" w:cs="宋体" w:hint="eastAsia"/>
          <w:color w:val="000000"/>
          <w:kern w:val="0"/>
          <w:szCs w:val="21"/>
        </w:rPr>
        <w:t>分 类：</w:t>
      </w:r>
      <w:r w:rsidRPr="000B118B">
        <w:rPr>
          <w:rFonts w:ascii="微软雅黑" w:eastAsia="微软雅黑" w:hAnsi="微软雅黑" w:cs="宋体" w:hint="eastAsia"/>
          <w:color w:val="4A4A4A"/>
          <w:kern w:val="0"/>
          <w:szCs w:val="21"/>
        </w:rPr>
        <w:t>部门文件</w:t>
      </w:r>
    </w:p>
    <w:p w14:paraId="1E40F13E" w14:textId="77777777" w:rsidR="000B118B" w:rsidRPr="000B118B" w:rsidRDefault="000B118B" w:rsidP="000B118B">
      <w:pPr>
        <w:widowControl/>
        <w:shd w:val="clear" w:color="auto" w:fill="FFFFFF"/>
        <w:spacing w:line="375" w:lineRule="atLeast"/>
        <w:jc w:val="left"/>
        <w:rPr>
          <w:rFonts w:ascii="微软雅黑" w:eastAsia="微软雅黑" w:hAnsi="微软雅黑" w:cs="宋体" w:hint="eastAsia"/>
          <w:color w:val="4A4A4A"/>
          <w:kern w:val="0"/>
          <w:szCs w:val="21"/>
        </w:rPr>
      </w:pPr>
      <w:r w:rsidRPr="000B118B">
        <w:rPr>
          <w:rFonts w:ascii="微软雅黑" w:eastAsia="微软雅黑" w:hAnsi="微软雅黑" w:cs="宋体" w:hint="eastAsia"/>
          <w:color w:val="000000"/>
          <w:kern w:val="0"/>
          <w:szCs w:val="21"/>
        </w:rPr>
        <w:t>发布机构：</w:t>
      </w:r>
      <w:r w:rsidRPr="000B118B">
        <w:rPr>
          <w:rFonts w:ascii="微软雅黑" w:eastAsia="微软雅黑" w:hAnsi="微软雅黑" w:cs="宋体" w:hint="eastAsia"/>
          <w:color w:val="4A4A4A"/>
          <w:kern w:val="0"/>
          <w:szCs w:val="21"/>
        </w:rPr>
        <w:t>深圳市规划和国土资源委员会</w:t>
      </w:r>
    </w:p>
    <w:p w14:paraId="3C738CB9" w14:textId="77777777" w:rsidR="000B118B" w:rsidRPr="000B118B" w:rsidRDefault="000B118B" w:rsidP="000B118B">
      <w:pPr>
        <w:widowControl/>
        <w:shd w:val="clear" w:color="auto" w:fill="FFFFFF"/>
        <w:spacing w:line="375" w:lineRule="atLeast"/>
        <w:jc w:val="left"/>
        <w:rPr>
          <w:rFonts w:ascii="微软雅黑" w:eastAsia="微软雅黑" w:hAnsi="微软雅黑" w:cs="宋体" w:hint="eastAsia"/>
          <w:color w:val="4A4A4A"/>
          <w:kern w:val="0"/>
          <w:szCs w:val="21"/>
        </w:rPr>
      </w:pPr>
      <w:r w:rsidRPr="000B118B">
        <w:rPr>
          <w:rFonts w:ascii="微软雅黑" w:eastAsia="微软雅黑" w:hAnsi="微软雅黑" w:cs="宋体" w:hint="eastAsia"/>
          <w:color w:val="000000"/>
          <w:kern w:val="0"/>
          <w:szCs w:val="21"/>
        </w:rPr>
        <w:t>发布日期：</w:t>
      </w:r>
      <w:r w:rsidRPr="000B118B">
        <w:rPr>
          <w:rFonts w:ascii="微软雅黑" w:eastAsia="微软雅黑" w:hAnsi="微软雅黑" w:cs="宋体" w:hint="eastAsia"/>
          <w:color w:val="4A4A4A"/>
          <w:kern w:val="0"/>
          <w:szCs w:val="21"/>
        </w:rPr>
        <w:t>2015-05-06</w:t>
      </w:r>
    </w:p>
    <w:p w14:paraId="37EA6DB3" w14:textId="77777777" w:rsidR="000B118B" w:rsidRPr="000B118B" w:rsidRDefault="000B118B" w:rsidP="000B118B">
      <w:pPr>
        <w:widowControl/>
        <w:shd w:val="clear" w:color="auto" w:fill="FFFFFF"/>
        <w:spacing w:line="375" w:lineRule="atLeast"/>
        <w:jc w:val="left"/>
        <w:rPr>
          <w:rFonts w:ascii="微软雅黑" w:eastAsia="微软雅黑" w:hAnsi="微软雅黑" w:cs="宋体" w:hint="eastAsia"/>
          <w:color w:val="4A4A4A"/>
          <w:kern w:val="0"/>
          <w:szCs w:val="21"/>
        </w:rPr>
      </w:pPr>
      <w:r w:rsidRPr="000B118B">
        <w:rPr>
          <w:rFonts w:ascii="微软雅黑" w:eastAsia="微软雅黑" w:hAnsi="微软雅黑" w:cs="宋体" w:hint="eastAsia"/>
          <w:color w:val="000000"/>
          <w:kern w:val="0"/>
          <w:szCs w:val="21"/>
        </w:rPr>
        <w:t>名 称：</w:t>
      </w:r>
      <w:r w:rsidRPr="000B118B">
        <w:rPr>
          <w:rFonts w:ascii="微软雅黑" w:eastAsia="微软雅黑" w:hAnsi="微软雅黑" w:cs="宋体" w:hint="eastAsia"/>
          <w:color w:val="4A4A4A"/>
          <w:kern w:val="0"/>
          <w:szCs w:val="21"/>
        </w:rPr>
        <w:t>深圳市规划和国土资源委员会关于印发《深圳市养老服务设施用地供应暂行办法》的通知</w:t>
      </w:r>
    </w:p>
    <w:p w14:paraId="377F335C" w14:textId="77777777" w:rsidR="000B118B" w:rsidRPr="000B118B" w:rsidRDefault="000B118B" w:rsidP="000B118B">
      <w:pPr>
        <w:widowControl/>
        <w:shd w:val="clear" w:color="auto" w:fill="FFFFFF"/>
        <w:spacing w:line="375" w:lineRule="atLeast"/>
        <w:jc w:val="left"/>
        <w:rPr>
          <w:rFonts w:ascii="微软雅黑" w:eastAsia="微软雅黑" w:hAnsi="微软雅黑" w:cs="宋体" w:hint="eastAsia"/>
          <w:color w:val="4A4A4A"/>
          <w:kern w:val="0"/>
          <w:szCs w:val="21"/>
        </w:rPr>
      </w:pPr>
      <w:r w:rsidRPr="000B118B">
        <w:rPr>
          <w:rFonts w:ascii="微软雅黑" w:eastAsia="微软雅黑" w:hAnsi="微软雅黑" w:cs="宋体" w:hint="eastAsia"/>
          <w:color w:val="000000"/>
          <w:kern w:val="0"/>
          <w:szCs w:val="21"/>
        </w:rPr>
        <w:t>文 号：</w:t>
      </w:r>
      <w:r w:rsidRPr="000B118B">
        <w:rPr>
          <w:rFonts w:ascii="微软雅黑" w:eastAsia="微软雅黑" w:hAnsi="微软雅黑" w:cs="宋体" w:hint="eastAsia"/>
          <w:color w:val="4A4A4A"/>
          <w:kern w:val="0"/>
          <w:szCs w:val="21"/>
        </w:rPr>
        <w:t>深</w:t>
      </w:r>
      <w:proofErr w:type="gramStart"/>
      <w:r w:rsidRPr="000B118B">
        <w:rPr>
          <w:rFonts w:ascii="微软雅黑" w:eastAsia="微软雅黑" w:hAnsi="微软雅黑" w:cs="宋体" w:hint="eastAsia"/>
          <w:color w:val="4A4A4A"/>
          <w:kern w:val="0"/>
          <w:szCs w:val="21"/>
        </w:rPr>
        <w:t>规</w:t>
      </w:r>
      <w:proofErr w:type="gramEnd"/>
      <w:r w:rsidRPr="000B118B">
        <w:rPr>
          <w:rFonts w:ascii="微软雅黑" w:eastAsia="微软雅黑" w:hAnsi="微软雅黑" w:cs="宋体" w:hint="eastAsia"/>
          <w:color w:val="4A4A4A"/>
          <w:kern w:val="0"/>
          <w:szCs w:val="21"/>
        </w:rPr>
        <w:t>土〔2015〕225号</w:t>
      </w:r>
    </w:p>
    <w:p w14:paraId="25E22744" w14:textId="77777777" w:rsidR="000B118B" w:rsidRPr="000B118B" w:rsidRDefault="000B118B" w:rsidP="000B118B">
      <w:pPr>
        <w:widowControl/>
        <w:shd w:val="clear" w:color="auto" w:fill="FFFFFF"/>
        <w:spacing w:line="375" w:lineRule="atLeast"/>
        <w:jc w:val="left"/>
        <w:rPr>
          <w:rFonts w:ascii="微软雅黑" w:eastAsia="微软雅黑" w:hAnsi="微软雅黑" w:cs="宋体" w:hint="eastAsia"/>
          <w:color w:val="4A4A4A"/>
          <w:kern w:val="0"/>
          <w:szCs w:val="21"/>
        </w:rPr>
      </w:pPr>
      <w:r w:rsidRPr="000B118B">
        <w:rPr>
          <w:rFonts w:ascii="微软雅黑" w:eastAsia="微软雅黑" w:hAnsi="微软雅黑" w:cs="宋体" w:hint="eastAsia"/>
          <w:color w:val="000000"/>
          <w:kern w:val="0"/>
          <w:szCs w:val="21"/>
        </w:rPr>
        <w:t>主 题 词：</w:t>
      </w:r>
    </w:p>
    <w:p w14:paraId="7009232F" w14:textId="77777777" w:rsidR="000B118B" w:rsidRPr="000B118B" w:rsidRDefault="000B118B" w:rsidP="000B118B">
      <w:pPr>
        <w:widowControl/>
        <w:shd w:val="clear" w:color="auto" w:fill="F8F8F8"/>
        <w:spacing w:after="225" w:line="675" w:lineRule="atLeast"/>
        <w:ind w:left="225" w:right="225"/>
        <w:jc w:val="center"/>
        <w:outlineLvl w:val="0"/>
        <w:rPr>
          <w:rFonts w:ascii="微软雅黑" w:eastAsia="微软雅黑" w:hAnsi="微软雅黑" w:cs="宋体" w:hint="eastAsia"/>
          <w:color w:val="1F6AD3"/>
          <w:kern w:val="36"/>
          <w:sz w:val="33"/>
          <w:szCs w:val="33"/>
        </w:rPr>
      </w:pPr>
      <w:r w:rsidRPr="000B118B">
        <w:rPr>
          <w:rFonts w:ascii="微软雅黑" w:eastAsia="微软雅黑" w:hAnsi="微软雅黑" w:cs="宋体" w:hint="eastAsia"/>
          <w:color w:val="1F6AD3"/>
          <w:kern w:val="36"/>
          <w:sz w:val="33"/>
          <w:szCs w:val="33"/>
        </w:rPr>
        <w:t>深圳市规划和国土资源委员会关于印发《深圳市养老服务设施用地供应暂行办法》的通知</w:t>
      </w:r>
    </w:p>
    <w:p w14:paraId="2997A6DB" w14:textId="77777777" w:rsidR="000B118B" w:rsidRPr="000B118B" w:rsidRDefault="000B118B" w:rsidP="000B118B">
      <w:pPr>
        <w:widowControl/>
        <w:shd w:val="clear" w:color="auto" w:fill="F8F8F8"/>
        <w:jc w:val="center"/>
        <w:outlineLvl w:val="5"/>
        <w:rPr>
          <w:rFonts w:ascii="微软雅黑" w:eastAsia="微软雅黑" w:hAnsi="微软雅黑" w:cs="宋体" w:hint="eastAsia"/>
          <w:color w:val="373737"/>
          <w:kern w:val="0"/>
          <w:sz w:val="24"/>
          <w:szCs w:val="24"/>
        </w:rPr>
      </w:pPr>
      <w:r w:rsidRPr="000B118B">
        <w:rPr>
          <w:rFonts w:ascii="微软雅黑" w:eastAsia="微软雅黑" w:hAnsi="微软雅黑" w:cs="宋体" w:hint="eastAsia"/>
          <w:color w:val="373737"/>
          <w:kern w:val="0"/>
          <w:sz w:val="24"/>
          <w:szCs w:val="24"/>
        </w:rPr>
        <w:t>信息来源：深圳市规划和国土资源委员会 信息提供日期：2015-05-06 【字体：</w:t>
      </w:r>
      <w:hyperlink r:id="rId6" w:history="1">
        <w:r w:rsidRPr="000B118B">
          <w:rPr>
            <w:rFonts w:ascii="微软雅黑" w:eastAsia="微软雅黑" w:hAnsi="微软雅黑" w:cs="宋体" w:hint="eastAsia"/>
            <w:color w:val="686868"/>
            <w:kern w:val="0"/>
            <w:sz w:val="24"/>
            <w:szCs w:val="24"/>
            <w:u w:val="single"/>
          </w:rPr>
          <w:t>大</w:t>
        </w:r>
      </w:hyperlink>
      <w:hyperlink r:id="rId7" w:history="1">
        <w:r w:rsidRPr="000B118B">
          <w:rPr>
            <w:rFonts w:ascii="微软雅黑" w:eastAsia="微软雅黑" w:hAnsi="微软雅黑" w:cs="宋体" w:hint="eastAsia"/>
            <w:color w:val="686868"/>
            <w:kern w:val="0"/>
            <w:sz w:val="24"/>
            <w:szCs w:val="24"/>
            <w:u w:val="single"/>
          </w:rPr>
          <w:t>中</w:t>
        </w:r>
      </w:hyperlink>
      <w:hyperlink r:id="rId8" w:history="1">
        <w:r w:rsidRPr="000B118B">
          <w:rPr>
            <w:rFonts w:ascii="微软雅黑" w:eastAsia="微软雅黑" w:hAnsi="微软雅黑" w:cs="宋体" w:hint="eastAsia"/>
            <w:color w:val="686868"/>
            <w:kern w:val="0"/>
            <w:sz w:val="24"/>
            <w:szCs w:val="24"/>
            <w:u w:val="single"/>
          </w:rPr>
          <w:t>小</w:t>
        </w:r>
      </w:hyperlink>
      <w:r w:rsidRPr="000B118B">
        <w:rPr>
          <w:rFonts w:ascii="微软雅黑" w:eastAsia="微软雅黑" w:hAnsi="微软雅黑" w:cs="宋体" w:hint="eastAsia"/>
          <w:color w:val="373737"/>
          <w:kern w:val="0"/>
          <w:sz w:val="24"/>
          <w:szCs w:val="24"/>
        </w:rPr>
        <w:t> 】</w:t>
      </w:r>
    </w:p>
    <w:p w14:paraId="39E8DEE0"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各区政府（新区管委会），市政府各部门：</w:t>
      </w:r>
    </w:p>
    <w:p w14:paraId="35BAFD82"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经市政府同意，现将《深圳市养老服务设施用地供应暂行办法》予以印发，请各单位认真贯彻执行。</w:t>
      </w:r>
    </w:p>
    <w:p w14:paraId="619C3EAA" w14:textId="77777777" w:rsidR="000B118B" w:rsidRPr="000B118B" w:rsidRDefault="000B118B" w:rsidP="000B118B">
      <w:pPr>
        <w:widowControl/>
        <w:shd w:val="clear" w:color="auto" w:fill="FFFFFF"/>
        <w:spacing w:line="570" w:lineRule="atLeast"/>
        <w:jc w:val="righ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深圳市规划和国土资源委员会</w:t>
      </w:r>
    </w:p>
    <w:p w14:paraId="421CE2D0" w14:textId="77777777" w:rsidR="000B118B" w:rsidRPr="000B118B" w:rsidRDefault="000B118B" w:rsidP="000B118B">
      <w:pPr>
        <w:widowControl/>
        <w:shd w:val="clear" w:color="auto" w:fill="FFFFFF"/>
        <w:spacing w:line="570" w:lineRule="atLeast"/>
        <w:jc w:val="righ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2015年4月16日</w:t>
      </w:r>
    </w:p>
    <w:p w14:paraId="69362458" w14:textId="77777777" w:rsidR="000B118B" w:rsidRPr="000B118B" w:rsidRDefault="000B118B" w:rsidP="000B118B">
      <w:pPr>
        <w:widowControl/>
        <w:shd w:val="clear" w:color="auto" w:fill="FFFFFF"/>
        <w:spacing w:line="570" w:lineRule="atLeast"/>
        <w:jc w:val="center"/>
        <w:rPr>
          <w:rFonts w:ascii="微软雅黑" w:eastAsia="微软雅黑" w:hAnsi="微软雅黑" w:cs="宋体" w:hint="eastAsia"/>
          <w:color w:val="040404"/>
          <w:kern w:val="0"/>
          <w:szCs w:val="21"/>
        </w:rPr>
      </w:pPr>
      <w:r w:rsidRPr="000B118B">
        <w:rPr>
          <w:rFonts w:ascii="微软雅黑" w:eastAsia="微软雅黑" w:hAnsi="微软雅黑" w:cs="宋体" w:hint="eastAsia"/>
          <w:b/>
          <w:bCs/>
          <w:color w:val="040404"/>
          <w:kern w:val="0"/>
          <w:szCs w:val="21"/>
        </w:rPr>
        <w:t>深圳市养老服务设施用地供应暂行办法</w:t>
      </w:r>
    </w:p>
    <w:p w14:paraId="5D1D3B8E"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第一条</w:t>
      </w:r>
      <w:r w:rsidRPr="000B118B">
        <w:rPr>
          <w:rFonts w:ascii="微软雅黑" w:eastAsia="微软雅黑" w:hAnsi="微软雅黑" w:cs="宋体" w:hint="eastAsia"/>
          <w:color w:val="040404"/>
          <w:kern w:val="0"/>
          <w:szCs w:val="21"/>
        </w:rPr>
        <w:t> 为保障养老服务设施用地供应，规范养老服务设施用地管理，满足多样化养老服务需求，推动养老服务事业和产业发展，保障和改善民生，根据《养老服务设施用地指导意见》《深圳市人民政府关于加快发展老龄服务事业和产业的意见》及有关规定，结合本市实际，制定本办法。</w:t>
      </w:r>
    </w:p>
    <w:p w14:paraId="45828C87"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lastRenderedPageBreak/>
        <w:t xml:space="preserve">　　</w:t>
      </w:r>
      <w:r w:rsidRPr="000B118B">
        <w:rPr>
          <w:rFonts w:ascii="微软雅黑" w:eastAsia="微软雅黑" w:hAnsi="微软雅黑" w:cs="宋体" w:hint="eastAsia"/>
          <w:b/>
          <w:bCs/>
          <w:color w:val="040404"/>
          <w:kern w:val="0"/>
          <w:szCs w:val="21"/>
        </w:rPr>
        <w:t>第二条</w:t>
      </w:r>
      <w:r w:rsidRPr="000B118B">
        <w:rPr>
          <w:rFonts w:ascii="微软雅黑" w:eastAsia="微软雅黑" w:hAnsi="微软雅黑" w:cs="宋体" w:hint="eastAsia"/>
          <w:color w:val="040404"/>
          <w:kern w:val="0"/>
          <w:szCs w:val="21"/>
        </w:rPr>
        <w:t> 本办法所称养老服务设施，是指集中赡养老年人，为老年人提供住宿、生活照料、医疗护理、精神慰藉、临终关怀、心理咨询、紧急救援、文化娱乐等服务所使用的房屋和场地设施。</w:t>
      </w:r>
    </w:p>
    <w:p w14:paraId="3C55FDFF"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本办法所称养老服务设施用地，是指满足养老设施专项规划及其他规划要求，可用于建设独立占地的养老服务设施的医疗卫生用地和社会福利用地。</w:t>
      </w:r>
    </w:p>
    <w:p w14:paraId="49FDE924"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第三条</w:t>
      </w:r>
      <w:r w:rsidRPr="000B118B">
        <w:rPr>
          <w:rFonts w:ascii="微软雅黑" w:eastAsia="微软雅黑" w:hAnsi="微软雅黑" w:cs="宋体" w:hint="eastAsia"/>
          <w:color w:val="040404"/>
          <w:kern w:val="0"/>
          <w:szCs w:val="21"/>
        </w:rPr>
        <w:t> 养老服务设施用地优先纳入我市近期建设与土地利用规划年度实施计划。</w:t>
      </w:r>
    </w:p>
    <w:p w14:paraId="2CE5EB30"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市民政部门应根据社会需求、养老设施专项规划及其他相关规划，会同市规划国土主管部门统筹确定近期养老服务设施建设项目计划，并纳入我市近期建设与土地利用规划年度实施计划。</w:t>
      </w:r>
    </w:p>
    <w:p w14:paraId="0B7C5380"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第四条</w:t>
      </w:r>
      <w:r w:rsidRPr="000B118B">
        <w:rPr>
          <w:rFonts w:ascii="微软雅黑" w:eastAsia="微软雅黑" w:hAnsi="微软雅黑" w:cs="宋体" w:hint="eastAsia"/>
          <w:color w:val="040404"/>
          <w:kern w:val="0"/>
          <w:szCs w:val="21"/>
        </w:rPr>
        <w:t> 我市养老服务设施用地，采取以下方式供应：</w:t>
      </w:r>
    </w:p>
    <w:p w14:paraId="3B9C1EC8"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（一）市、区财政全额投资的养老服务设施用地，由市民政部门申请，报市政府批准后，可以采取协议免地价方式出让土地使用权，土地使用权受让人为市、区政府，实际使用单位为市、区民政部门。</w:t>
      </w:r>
    </w:p>
    <w:p w14:paraId="6F55AADB"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二）产权归政府、引入社会资本举办的养老服务设施用地，由市民政部门申请，报市政府批准后，可以采取协议免地价方式出让土地使用权，土地使用权受让人为市、区政府，实际使用单位为市、区民政部门，由市、区民政部门通过公开方式引进社会资本经营。</w:t>
      </w:r>
    </w:p>
    <w:p w14:paraId="44888959"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（三）社会资本举办的养老服务设施用地，面向所有企业事业单位、社会组织或者个人，采取</w:t>
      </w:r>
      <w:proofErr w:type="gramStart"/>
      <w:r w:rsidRPr="000B118B">
        <w:rPr>
          <w:rFonts w:ascii="微软雅黑" w:eastAsia="微软雅黑" w:hAnsi="微软雅黑" w:cs="宋体" w:hint="eastAsia"/>
          <w:color w:val="040404"/>
          <w:kern w:val="0"/>
          <w:szCs w:val="21"/>
        </w:rPr>
        <w:t>招拍挂方式</w:t>
      </w:r>
      <w:proofErr w:type="gramEnd"/>
      <w:r w:rsidRPr="000B118B">
        <w:rPr>
          <w:rFonts w:ascii="微软雅黑" w:eastAsia="微软雅黑" w:hAnsi="微软雅黑" w:cs="宋体" w:hint="eastAsia"/>
          <w:color w:val="040404"/>
          <w:kern w:val="0"/>
          <w:szCs w:val="21"/>
        </w:rPr>
        <w:t>公开出让土地使用权。</w:t>
      </w:r>
    </w:p>
    <w:p w14:paraId="4509E37D"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第五条</w:t>
      </w:r>
      <w:r w:rsidRPr="000B118B">
        <w:rPr>
          <w:rFonts w:ascii="微软雅黑" w:eastAsia="微软雅黑" w:hAnsi="微软雅黑" w:cs="宋体" w:hint="eastAsia"/>
          <w:color w:val="040404"/>
          <w:kern w:val="0"/>
          <w:szCs w:val="21"/>
        </w:rPr>
        <w:t> 原农村集体经济组织继受单位尚未进行开发建设且规划为养老服务设施的合法用地，鼓励原农村集体经济组织继受单位自行举办养老服务设施，原农村集体经济组织继受单位应与市规划国土主管部门签订土地使用权出让合同或补充协议，免缴地价，土地使</w:t>
      </w:r>
      <w:r w:rsidRPr="000B118B">
        <w:rPr>
          <w:rFonts w:ascii="微软雅黑" w:eastAsia="微软雅黑" w:hAnsi="微软雅黑" w:cs="宋体" w:hint="eastAsia"/>
          <w:color w:val="040404"/>
          <w:kern w:val="0"/>
          <w:szCs w:val="21"/>
        </w:rPr>
        <w:lastRenderedPageBreak/>
        <w:t>用权期限重新计算。也可以采取</w:t>
      </w:r>
      <w:proofErr w:type="gramStart"/>
      <w:r w:rsidRPr="000B118B">
        <w:rPr>
          <w:rFonts w:ascii="微软雅黑" w:eastAsia="微软雅黑" w:hAnsi="微软雅黑" w:cs="宋体" w:hint="eastAsia"/>
          <w:color w:val="040404"/>
          <w:kern w:val="0"/>
          <w:szCs w:val="21"/>
        </w:rPr>
        <w:t>招拍挂方式</w:t>
      </w:r>
      <w:proofErr w:type="gramEnd"/>
      <w:r w:rsidRPr="000B118B">
        <w:rPr>
          <w:rFonts w:ascii="微软雅黑" w:eastAsia="微软雅黑" w:hAnsi="微软雅黑" w:cs="宋体" w:hint="eastAsia"/>
          <w:color w:val="040404"/>
          <w:kern w:val="0"/>
          <w:szCs w:val="21"/>
        </w:rPr>
        <w:t>公开转让土地使用权，土地使用权期限重新计算，所得收益归原农村集体经济组织继受单位，受让人应与市规划国土主管部门及原农村集体经济组织继受单位签订土地使用权出让合同或补充协议。</w:t>
      </w:r>
    </w:p>
    <w:p w14:paraId="2769092E"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第六条</w:t>
      </w:r>
      <w:r w:rsidRPr="000B118B">
        <w:rPr>
          <w:rFonts w:ascii="微软雅黑" w:eastAsia="微软雅黑" w:hAnsi="微软雅黑" w:cs="宋体" w:hint="eastAsia"/>
          <w:color w:val="040404"/>
          <w:kern w:val="0"/>
          <w:szCs w:val="21"/>
        </w:rPr>
        <w:t> 尚未完善征（转）地补偿手续且规划为养老服务设施的用地，可以采取</w:t>
      </w:r>
      <w:proofErr w:type="gramStart"/>
      <w:r w:rsidRPr="000B118B">
        <w:rPr>
          <w:rFonts w:ascii="微软雅黑" w:eastAsia="微软雅黑" w:hAnsi="微软雅黑" w:cs="宋体" w:hint="eastAsia"/>
          <w:color w:val="040404"/>
          <w:kern w:val="0"/>
          <w:szCs w:val="21"/>
        </w:rPr>
        <w:t>招拍挂方式</w:t>
      </w:r>
      <w:proofErr w:type="gramEnd"/>
      <w:r w:rsidRPr="000B118B">
        <w:rPr>
          <w:rFonts w:ascii="微软雅黑" w:eastAsia="微软雅黑" w:hAnsi="微软雅黑" w:cs="宋体" w:hint="eastAsia"/>
          <w:color w:val="040404"/>
          <w:kern w:val="0"/>
          <w:szCs w:val="21"/>
        </w:rPr>
        <w:t>公开出让土地使用权。所得收益50%纳入市国土基金，50%归原农村集体经济组织继受单位。原农村集体经济组织继受单位所得收益部分，</w:t>
      </w:r>
      <w:proofErr w:type="gramStart"/>
      <w:r w:rsidRPr="000B118B">
        <w:rPr>
          <w:rFonts w:ascii="微软雅黑" w:eastAsia="微软雅黑" w:hAnsi="微软雅黑" w:cs="宋体" w:hint="eastAsia"/>
          <w:color w:val="040404"/>
          <w:kern w:val="0"/>
          <w:szCs w:val="21"/>
        </w:rPr>
        <w:t>由竞得单位</w:t>
      </w:r>
      <w:proofErr w:type="gramEnd"/>
      <w:r w:rsidRPr="000B118B">
        <w:rPr>
          <w:rFonts w:ascii="微软雅黑" w:eastAsia="微软雅黑" w:hAnsi="微软雅黑" w:cs="宋体" w:hint="eastAsia"/>
          <w:color w:val="040404"/>
          <w:kern w:val="0"/>
          <w:szCs w:val="21"/>
        </w:rPr>
        <w:t>先支付至市土地房产交易中心账户监管，待土地使用权出让合同等相关手续完善后，再由市土地房产交易中心将监管款项划转至原农村集体经济组织继受单位指定账户。</w:t>
      </w:r>
    </w:p>
    <w:p w14:paraId="0391EA3A"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原农村集体经济组织继受单位应在</w:t>
      </w:r>
      <w:proofErr w:type="gramStart"/>
      <w:r w:rsidRPr="000B118B">
        <w:rPr>
          <w:rFonts w:ascii="微软雅黑" w:eastAsia="微软雅黑" w:hAnsi="微软雅黑" w:cs="宋体" w:hint="eastAsia"/>
          <w:color w:val="040404"/>
          <w:kern w:val="0"/>
          <w:szCs w:val="21"/>
        </w:rPr>
        <w:t>招拍挂</w:t>
      </w:r>
      <w:proofErr w:type="gramEnd"/>
      <w:r w:rsidRPr="000B118B">
        <w:rPr>
          <w:rFonts w:ascii="微软雅黑" w:eastAsia="微软雅黑" w:hAnsi="微软雅黑" w:cs="宋体" w:hint="eastAsia"/>
          <w:color w:val="040404"/>
          <w:kern w:val="0"/>
          <w:szCs w:val="21"/>
        </w:rPr>
        <w:t>出让前先行理清土地经济利益关系，完成青苗、建筑物及附着物的清理、补偿和拆除，签订相关征（转）地补偿协议，政府不再另行补偿。</w:t>
      </w:r>
    </w:p>
    <w:p w14:paraId="0FD3759C"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城市更新项目开发建设范围内的养老服务设施用地，不计入城市更新用地移交率的，可一并协议出让。</w:t>
      </w:r>
    </w:p>
    <w:p w14:paraId="3E53A08A"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第七条</w:t>
      </w:r>
      <w:r w:rsidRPr="000B118B">
        <w:rPr>
          <w:rFonts w:ascii="微软雅黑" w:eastAsia="微软雅黑" w:hAnsi="微软雅黑" w:cs="宋体" w:hint="eastAsia"/>
          <w:color w:val="040404"/>
          <w:kern w:val="0"/>
          <w:szCs w:val="21"/>
        </w:rPr>
        <w:t> 城市更新项目开发建设用地范围外按规定应移交政府、规划为养老服务设施的用地，由项目实施主体无偿移交政府后按本办法第四条规定执行。</w:t>
      </w:r>
    </w:p>
    <w:p w14:paraId="294290D2"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第八条</w:t>
      </w:r>
      <w:r w:rsidRPr="000B118B">
        <w:rPr>
          <w:rFonts w:ascii="微软雅黑" w:eastAsia="微软雅黑" w:hAnsi="微软雅黑" w:cs="宋体" w:hint="eastAsia"/>
          <w:color w:val="040404"/>
          <w:kern w:val="0"/>
          <w:szCs w:val="21"/>
        </w:rPr>
        <w:t> 土地使用权剩余期限不少于10年的已批未建合法用地符合规划要求的，原用地单位申请自行举办养老服务设施，按居住用地基准地价、原土地使用权剩余年限补缴地价后实施；也可以采取</w:t>
      </w:r>
      <w:proofErr w:type="gramStart"/>
      <w:r w:rsidRPr="000B118B">
        <w:rPr>
          <w:rFonts w:ascii="微软雅黑" w:eastAsia="微软雅黑" w:hAnsi="微软雅黑" w:cs="宋体" w:hint="eastAsia"/>
          <w:color w:val="040404"/>
          <w:kern w:val="0"/>
          <w:szCs w:val="21"/>
        </w:rPr>
        <w:t>招拍挂方式</w:t>
      </w:r>
      <w:proofErr w:type="gramEnd"/>
      <w:r w:rsidRPr="000B118B">
        <w:rPr>
          <w:rFonts w:ascii="微软雅黑" w:eastAsia="微软雅黑" w:hAnsi="微软雅黑" w:cs="宋体" w:hint="eastAsia"/>
          <w:color w:val="040404"/>
          <w:kern w:val="0"/>
          <w:szCs w:val="21"/>
        </w:rPr>
        <w:t>公开转让土地使用权，转让后的土地使用权期限为原土地使用权剩余年限，按原土地用途及剩余年限计算的地价为转让底价，成交价高于底价的溢价部分，50%纳入市国土基金，50%归原用地单位。</w:t>
      </w:r>
    </w:p>
    <w:p w14:paraId="79BA9516"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上述情形涉及闲置土地处置的，应按相关规定先行处理。</w:t>
      </w:r>
    </w:p>
    <w:p w14:paraId="05F6742B"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lastRenderedPageBreak/>
        <w:t xml:space="preserve">　　</w:t>
      </w:r>
      <w:r w:rsidRPr="000B118B">
        <w:rPr>
          <w:rFonts w:ascii="微软雅黑" w:eastAsia="微软雅黑" w:hAnsi="微软雅黑" w:cs="宋体" w:hint="eastAsia"/>
          <w:b/>
          <w:bCs/>
          <w:color w:val="040404"/>
          <w:kern w:val="0"/>
          <w:szCs w:val="21"/>
        </w:rPr>
        <w:t>第九条</w:t>
      </w:r>
      <w:r w:rsidRPr="000B118B">
        <w:rPr>
          <w:rFonts w:ascii="微软雅黑" w:eastAsia="微软雅黑" w:hAnsi="微软雅黑" w:cs="宋体" w:hint="eastAsia"/>
          <w:color w:val="040404"/>
          <w:kern w:val="0"/>
          <w:szCs w:val="21"/>
        </w:rPr>
        <w:t> 已建住房项目经市规划国土主管部门、市住房保障部门、市民政部门同意，可整体用于举办养老服务设施。此类项目可由市、区民政部门回购用于举办养老服务设施，也可采取公开竞投方式由社会资本持有并经营。</w:t>
      </w:r>
    </w:p>
    <w:p w14:paraId="5AD33CCF"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上述情形经批准举办养老服务设施的，土地用途和使用年期不作变更，不需补缴地价，建筑物不得分割处置。</w:t>
      </w:r>
    </w:p>
    <w:p w14:paraId="74D0AAF6"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第十条</w:t>
      </w:r>
      <w:r w:rsidRPr="000B118B">
        <w:rPr>
          <w:rFonts w:ascii="微软雅黑" w:eastAsia="微软雅黑" w:hAnsi="微软雅黑" w:cs="宋体" w:hint="eastAsia"/>
          <w:color w:val="040404"/>
          <w:kern w:val="0"/>
          <w:szCs w:val="21"/>
        </w:rPr>
        <w:t> 除第九条规定情形外的其他合法建筑满足环境保护、卫生防疫、消防安全、养老设施建筑设计等规范要求的，可以用于举办养老服务设施。</w:t>
      </w:r>
    </w:p>
    <w:p w14:paraId="043B9070"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本办法实施前合法经营性用地上已建成运营的养老服务设施，满足环境保护、卫生防疫、消防安全、养老设施建筑设计等规范要求的，可以向市、区民政部门申请完善手续。</w:t>
      </w:r>
    </w:p>
    <w:p w14:paraId="7C20CFE8"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上述情形经批准举办养老服务设施的，权利主体、土地用途和使用年期不作变更，不需补缴地价，建筑物不得分割处置。</w:t>
      </w:r>
    </w:p>
    <w:p w14:paraId="11D4F277"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第十一条</w:t>
      </w:r>
      <w:r w:rsidRPr="000B118B">
        <w:rPr>
          <w:rFonts w:ascii="微软雅黑" w:eastAsia="微软雅黑" w:hAnsi="微软雅黑" w:cs="宋体" w:hint="eastAsia"/>
          <w:color w:val="040404"/>
          <w:kern w:val="0"/>
          <w:szCs w:val="21"/>
        </w:rPr>
        <w:t> 市民政部门应拟定有关监管协议书，与养老服务设施用地出（转）让公告一并公示。监管协议书应明确养老服务设施的运营宗旨、方式、床位数量、服务对象、收费机制、后续监管等事项，在签署土地使用权出让合同时一并签订。</w:t>
      </w:r>
    </w:p>
    <w:p w14:paraId="31668A62"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第十二条</w:t>
      </w:r>
      <w:r w:rsidRPr="000B118B">
        <w:rPr>
          <w:rFonts w:ascii="微软雅黑" w:eastAsia="微软雅黑" w:hAnsi="微软雅黑" w:cs="宋体" w:hint="eastAsia"/>
          <w:color w:val="040404"/>
          <w:kern w:val="0"/>
          <w:szCs w:val="21"/>
        </w:rPr>
        <w:t> 我市养老服务设施用地</w:t>
      </w:r>
      <w:proofErr w:type="gramStart"/>
      <w:r w:rsidRPr="000B118B">
        <w:rPr>
          <w:rFonts w:ascii="微软雅黑" w:eastAsia="微软雅黑" w:hAnsi="微软雅黑" w:cs="宋体" w:hint="eastAsia"/>
          <w:color w:val="040404"/>
          <w:kern w:val="0"/>
          <w:szCs w:val="21"/>
        </w:rPr>
        <w:t>限整体</w:t>
      </w:r>
      <w:proofErr w:type="gramEnd"/>
      <w:r w:rsidRPr="000B118B">
        <w:rPr>
          <w:rFonts w:ascii="微软雅黑" w:eastAsia="微软雅黑" w:hAnsi="微软雅黑" w:cs="宋体" w:hint="eastAsia"/>
          <w:color w:val="040404"/>
          <w:kern w:val="0"/>
          <w:szCs w:val="21"/>
        </w:rPr>
        <w:t>转让，建筑物不得分割转让，土地使用权出让最高年限为50年。</w:t>
      </w:r>
    </w:p>
    <w:p w14:paraId="45D7B28F" w14:textId="77777777" w:rsidR="000B118B" w:rsidRPr="000B118B" w:rsidRDefault="000B118B" w:rsidP="000B118B">
      <w:pPr>
        <w:widowControl/>
        <w:shd w:val="clear" w:color="auto" w:fill="FFFFFF"/>
        <w:spacing w:line="570" w:lineRule="atLeast"/>
        <w:jc w:val="left"/>
        <w:rPr>
          <w:rFonts w:ascii="微软雅黑" w:eastAsia="微软雅黑" w:hAnsi="微软雅黑" w:cs="宋体" w:hint="eastAsia"/>
          <w:color w:val="040404"/>
          <w:kern w:val="0"/>
          <w:szCs w:val="21"/>
        </w:rPr>
      </w:pPr>
      <w:r w:rsidRPr="000B118B">
        <w:rPr>
          <w:rFonts w:ascii="微软雅黑" w:eastAsia="微软雅黑" w:hAnsi="微软雅黑" w:cs="宋体" w:hint="eastAsia"/>
          <w:color w:val="040404"/>
          <w:kern w:val="0"/>
          <w:szCs w:val="21"/>
        </w:rPr>
        <w:t xml:space="preserve">　　</w:t>
      </w:r>
      <w:r w:rsidRPr="000B118B">
        <w:rPr>
          <w:rFonts w:ascii="微软雅黑" w:eastAsia="微软雅黑" w:hAnsi="微软雅黑" w:cs="宋体" w:hint="eastAsia"/>
          <w:b/>
          <w:bCs/>
          <w:color w:val="040404"/>
          <w:kern w:val="0"/>
          <w:szCs w:val="21"/>
        </w:rPr>
        <w:t>第十三条</w:t>
      </w:r>
      <w:r w:rsidRPr="000B118B">
        <w:rPr>
          <w:rFonts w:ascii="微软雅黑" w:eastAsia="微软雅黑" w:hAnsi="微软雅黑" w:cs="宋体" w:hint="eastAsia"/>
          <w:color w:val="040404"/>
          <w:kern w:val="0"/>
          <w:szCs w:val="21"/>
        </w:rPr>
        <w:t> 本办法自发布之日起施行。</w:t>
      </w:r>
    </w:p>
    <w:p w14:paraId="74D516A9" w14:textId="77777777" w:rsidR="005C10C4" w:rsidRPr="000B118B" w:rsidRDefault="005C10C4">
      <w:bookmarkStart w:id="0" w:name="_GoBack"/>
      <w:bookmarkEnd w:id="0"/>
    </w:p>
    <w:sectPr w:rsidR="005C10C4" w:rsidRPr="000B1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AF65" w14:textId="77777777" w:rsidR="00AF71DC" w:rsidRDefault="00AF71DC" w:rsidP="000B118B">
      <w:r>
        <w:separator/>
      </w:r>
    </w:p>
  </w:endnote>
  <w:endnote w:type="continuationSeparator" w:id="0">
    <w:p w14:paraId="781E6012" w14:textId="77777777" w:rsidR="00AF71DC" w:rsidRDefault="00AF71DC" w:rsidP="000B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98A6" w14:textId="77777777" w:rsidR="00AF71DC" w:rsidRDefault="00AF71DC" w:rsidP="000B118B">
      <w:r>
        <w:separator/>
      </w:r>
    </w:p>
  </w:footnote>
  <w:footnote w:type="continuationSeparator" w:id="0">
    <w:p w14:paraId="771390AE" w14:textId="77777777" w:rsidR="00AF71DC" w:rsidRDefault="00AF71DC" w:rsidP="000B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16"/>
    <w:rsid w:val="000B118B"/>
    <w:rsid w:val="005C10C4"/>
    <w:rsid w:val="00AF71DC"/>
    <w:rsid w:val="00D2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31971-AC18-4674-B436-4CB918EB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B118B"/>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0B118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1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118B"/>
    <w:rPr>
      <w:sz w:val="18"/>
      <w:szCs w:val="18"/>
    </w:rPr>
  </w:style>
  <w:style w:type="paragraph" w:styleId="a5">
    <w:name w:val="footer"/>
    <w:basedOn w:val="a"/>
    <w:link w:val="a6"/>
    <w:uiPriority w:val="99"/>
    <w:unhideWhenUsed/>
    <w:rsid w:val="000B118B"/>
    <w:pPr>
      <w:tabs>
        <w:tab w:val="center" w:pos="4153"/>
        <w:tab w:val="right" w:pos="8306"/>
      </w:tabs>
      <w:snapToGrid w:val="0"/>
      <w:jc w:val="left"/>
    </w:pPr>
    <w:rPr>
      <w:sz w:val="18"/>
      <w:szCs w:val="18"/>
    </w:rPr>
  </w:style>
  <w:style w:type="character" w:customStyle="1" w:styleId="a6">
    <w:name w:val="页脚 字符"/>
    <w:basedOn w:val="a0"/>
    <w:link w:val="a5"/>
    <w:uiPriority w:val="99"/>
    <w:rsid w:val="000B118B"/>
    <w:rPr>
      <w:sz w:val="18"/>
      <w:szCs w:val="18"/>
    </w:rPr>
  </w:style>
  <w:style w:type="character" w:customStyle="1" w:styleId="10">
    <w:name w:val="标题 1 字符"/>
    <w:basedOn w:val="a0"/>
    <w:link w:val="1"/>
    <w:uiPriority w:val="9"/>
    <w:rsid w:val="000B118B"/>
    <w:rPr>
      <w:rFonts w:ascii="宋体" w:eastAsia="宋体" w:hAnsi="宋体" w:cs="宋体"/>
      <w:b/>
      <w:bCs/>
      <w:kern w:val="36"/>
      <w:sz w:val="48"/>
      <w:szCs w:val="48"/>
    </w:rPr>
  </w:style>
  <w:style w:type="character" w:customStyle="1" w:styleId="60">
    <w:name w:val="标题 6 字符"/>
    <w:basedOn w:val="a0"/>
    <w:link w:val="6"/>
    <w:uiPriority w:val="9"/>
    <w:rsid w:val="000B118B"/>
    <w:rPr>
      <w:rFonts w:ascii="宋体" w:eastAsia="宋体" w:hAnsi="宋体" w:cs="宋体"/>
      <w:b/>
      <w:bCs/>
      <w:kern w:val="0"/>
      <w:sz w:val="15"/>
      <w:szCs w:val="15"/>
    </w:rPr>
  </w:style>
  <w:style w:type="paragraph" w:styleId="a7">
    <w:name w:val="Normal (Web)"/>
    <w:basedOn w:val="a"/>
    <w:uiPriority w:val="99"/>
    <w:semiHidden/>
    <w:unhideWhenUsed/>
    <w:rsid w:val="000B118B"/>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0B118B"/>
    <w:rPr>
      <w:i/>
      <w:iCs/>
    </w:rPr>
  </w:style>
  <w:style w:type="paragraph" w:customStyle="1" w:styleId="mingc">
    <w:name w:val="mingc"/>
    <w:basedOn w:val="a"/>
    <w:rsid w:val="000B118B"/>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0B118B"/>
  </w:style>
  <w:style w:type="character" w:styleId="a9">
    <w:name w:val="Hyperlink"/>
    <w:basedOn w:val="a0"/>
    <w:uiPriority w:val="99"/>
    <w:semiHidden/>
    <w:unhideWhenUsed/>
    <w:rsid w:val="000B118B"/>
    <w:rPr>
      <w:color w:val="0000FF"/>
      <w:u w:val="single"/>
    </w:rPr>
  </w:style>
  <w:style w:type="character" w:styleId="aa">
    <w:name w:val="Strong"/>
    <w:basedOn w:val="a0"/>
    <w:uiPriority w:val="22"/>
    <w:qFormat/>
    <w:rsid w:val="000B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6302">
      <w:bodyDiv w:val="1"/>
      <w:marLeft w:val="0"/>
      <w:marRight w:val="0"/>
      <w:marTop w:val="0"/>
      <w:marBottom w:val="0"/>
      <w:divBdr>
        <w:top w:val="none" w:sz="0" w:space="0" w:color="auto"/>
        <w:left w:val="none" w:sz="0" w:space="0" w:color="auto"/>
        <w:bottom w:val="none" w:sz="0" w:space="0" w:color="auto"/>
        <w:right w:val="none" w:sz="0" w:space="0" w:color="auto"/>
      </w:divBdr>
      <w:divsChild>
        <w:div w:id="1799184611">
          <w:marLeft w:val="0"/>
          <w:marRight w:val="0"/>
          <w:marTop w:val="0"/>
          <w:marBottom w:val="0"/>
          <w:divBdr>
            <w:top w:val="single" w:sz="6" w:space="4" w:color="C9C9C9"/>
            <w:left w:val="single" w:sz="6" w:space="0" w:color="C9C9C9"/>
            <w:bottom w:val="single" w:sz="6" w:space="4" w:color="C9C9C9"/>
            <w:right w:val="single" w:sz="6" w:space="0" w:color="C9C9C9"/>
          </w:divBdr>
        </w:div>
        <w:div w:id="2067949855">
          <w:marLeft w:val="0"/>
          <w:marRight w:val="0"/>
          <w:marTop w:val="300"/>
          <w:marBottom w:val="300"/>
          <w:divBdr>
            <w:top w:val="none" w:sz="0" w:space="0" w:color="auto"/>
            <w:left w:val="none" w:sz="0" w:space="0" w:color="auto"/>
            <w:bottom w:val="none" w:sz="0" w:space="0" w:color="auto"/>
            <w:right w:val="none" w:sz="0" w:space="0" w:color="auto"/>
          </w:divBdr>
        </w:div>
        <w:div w:id="204656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2018-08-08T02:52:00Z</dcterms:created>
  <dcterms:modified xsi:type="dcterms:W3CDTF">2018-08-08T02:52:00Z</dcterms:modified>
</cp:coreProperties>
</file>