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tLeast"/>
        <w:jc w:val="center"/>
        <w:rPr>
          <w:rFonts w:cs="Arial" w:asciiTheme="minorEastAsia" w:hAnsiTheme="minorEastAsia" w:eastAsiaTheme="minorEastAsia"/>
          <w:b/>
          <w:sz w:val="32"/>
          <w:szCs w:val="32"/>
        </w:rPr>
      </w:pPr>
      <w:bookmarkStart w:id="0" w:name="_GoBack"/>
      <w:bookmarkEnd w:id="0"/>
      <w:r>
        <w:rPr>
          <w:rFonts w:hint="eastAsia" w:cs="Arial" w:asciiTheme="minorEastAsia" w:hAnsiTheme="minorEastAsia" w:eastAsiaTheme="minorEastAsia"/>
          <w:b/>
          <w:sz w:val="32"/>
          <w:szCs w:val="32"/>
        </w:rPr>
        <w:t>深圳市拆除重建类城市更新单元规划容积率审查规定</w:t>
      </w:r>
    </w:p>
    <w:p>
      <w:pPr>
        <w:pStyle w:val="7"/>
        <w:spacing w:before="0" w:beforeAutospacing="0" w:after="0" w:afterAutospacing="0"/>
        <w:ind w:firstLine="602" w:firstLineChars="200"/>
        <w:jc w:val="both"/>
        <w:rPr>
          <w:rFonts w:ascii="仿宋_GB2312" w:eastAsia="仿宋_GB2312" w:cs="Arial" w:hAnsiTheme="minorEastAsia"/>
          <w:sz w:val="30"/>
          <w:szCs w:val="30"/>
        </w:rPr>
      </w:pPr>
      <w:r>
        <w:rPr>
          <w:rFonts w:hint="eastAsia" w:cs="Arial" w:asciiTheme="minorEastAsia" w:hAnsiTheme="minorEastAsia" w:eastAsiaTheme="minorEastAsia"/>
          <w:b/>
          <w:sz w:val="30"/>
          <w:szCs w:val="30"/>
        </w:rPr>
        <w:t>第一条</w:t>
      </w:r>
      <w:r>
        <w:rPr>
          <w:rFonts w:hint="eastAsia" w:cs="Arial" w:asciiTheme="minorEastAsia" w:hAnsiTheme="minorEastAsia" w:eastAsiaTheme="minorEastAsia"/>
          <w:sz w:val="30"/>
          <w:szCs w:val="30"/>
        </w:rPr>
        <w:t xml:space="preserve"> </w:t>
      </w:r>
      <w:r>
        <w:rPr>
          <w:rFonts w:hint="eastAsia" w:ascii="仿宋_GB2312" w:eastAsia="仿宋_GB2312" w:cs="Arial" w:hAnsiTheme="minorEastAsia"/>
          <w:sz w:val="30"/>
          <w:szCs w:val="30"/>
        </w:rPr>
        <w:t>为规范城市更新单元规划容积率管理，依据《深圳市城市更新办法》、《深圳市城市更新办法实施细则》、《关于加强和改进城市更新实施工作的暂行措施》（以下简称《暂行措施》）及《深圳市城市规划标准与准则》（以下简称《深标》）等，制定本规定。</w:t>
      </w:r>
    </w:p>
    <w:p>
      <w:pPr>
        <w:pStyle w:val="7"/>
        <w:spacing w:before="0" w:beforeAutospacing="0" w:after="0" w:afterAutospacing="0"/>
        <w:ind w:firstLine="602"/>
        <w:jc w:val="both"/>
        <w:rPr>
          <w:rFonts w:ascii="仿宋_GB2312" w:eastAsia="仿宋_GB2312" w:cs="Arial" w:hAnsiTheme="minorEastAsia"/>
          <w:sz w:val="30"/>
          <w:szCs w:val="30"/>
        </w:rPr>
      </w:pPr>
      <w:r>
        <w:rPr>
          <w:rFonts w:hint="eastAsia" w:cs="Arial" w:asciiTheme="minorEastAsia" w:hAnsiTheme="minorEastAsia" w:eastAsiaTheme="minorEastAsia"/>
          <w:b/>
          <w:sz w:val="30"/>
          <w:szCs w:val="30"/>
        </w:rPr>
        <w:t xml:space="preserve">第二条 </w:t>
      </w:r>
      <w:r>
        <w:rPr>
          <w:rFonts w:hint="eastAsia" w:ascii="仿宋_GB2312" w:eastAsia="仿宋_GB2312" w:cs="Arial" w:hAnsiTheme="minorEastAsia"/>
          <w:sz w:val="30"/>
          <w:szCs w:val="30"/>
        </w:rPr>
        <w:t>本规定适用于深圳市行政区域内拆除重建类城市更新单元规划容积率的审查。</w:t>
      </w:r>
    </w:p>
    <w:p>
      <w:pPr>
        <w:pStyle w:val="7"/>
        <w:spacing w:before="0" w:beforeAutospacing="0" w:after="0" w:afterAutospacing="0"/>
        <w:ind w:firstLine="602" w:firstLineChars="200"/>
        <w:jc w:val="both"/>
        <w:rPr>
          <w:rFonts w:ascii="仿宋_GB2312" w:eastAsia="仿宋_GB2312" w:cs="Arial" w:hAnsiTheme="minorEastAsia"/>
          <w:sz w:val="30"/>
          <w:szCs w:val="30"/>
        </w:rPr>
      </w:pPr>
      <w:r>
        <w:rPr>
          <w:rFonts w:hint="eastAsia" w:cs="Arial" w:asciiTheme="minorEastAsia" w:hAnsiTheme="minorEastAsia" w:eastAsiaTheme="minorEastAsia"/>
          <w:b/>
          <w:sz w:val="30"/>
          <w:szCs w:val="30"/>
        </w:rPr>
        <w:t>第三条</w:t>
      </w:r>
      <w:r>
        <w:rPr>
          <w:rFonts w:hint="eastAsia" w:ascii="仿宋_GB2312" w:eastAsia="仿宋_GB2312" w:cs="Arial" w:hAnsiTheme="minorEastAsia"/>
          <w:sz w:val="30"/>
          <w:szCs w:val="30"/>
        </w:rPr>
        <w:t>城市更新单元规划容积（以下简称“规划容积”）是指城市更新单元内开发建设用地各地块规定建筑面积之和，包括地上规定建筑面积与地下规定建筑面积。其中，地下规定建筑面积是指除地下车库、设备用房、民防设施、公共通道之外的地下建筑面积。</w:t>
      </w:r>
    </w:p>
    <w:p>
      <w:pPr>
        <w:pStyle w:val="7"/>
        <w:spacing w:before="0" w:beforeAutospacing="0" w:after="0" w:afterAutospacing="0"/>
        <w:ind w:firstLine="645"/>
        <w:jc w:val="both"/>
        <w:rPr>
          <w:rFonts w:ascii="仿宋_GB2312" w:eastAsia="仿宋_GB2312" w:cs="Arial" w:hAnsiTheme="minorEastAsia"/>
          <w:sz w:val="30"/>
          <w:szCs w:val="30"/>
        </w:rPr>
      </w:pPr>
      <w:r>
        <w:rPr>
          <w:rFonts w:hint="eastAsia" w:ascii="仿宋_GB2312" w:eastAsia="仿宋_GB2312" w:cs="Arial" w:hAnsiTheme="minorEastAsia"/>
          <w:sz w:val="30"/>
          <w:szCs w:val="30"/>
        </w:rPr>
        <w:t xml:space="preserve">规划容积由基础容积、转移容积、奖励容积三部分组成。 </w:t>
      </w:r>
    </w:p>
    <w:p>
      <w:pPr>
        <w:pStyle w:val="7"/>
        <w:spacing w:before="0" w:beforeAutospacing="0" w:after="0" w:afterAutospacing="0"/>
        <w:ind w:firstLine="645"/>
        <w:jc w:val="both"/>
        <w:rPr>
          <w:rFonts w:ascii="仿宋_GB2312" w:eastAsia="仿宋_GB2312" w:cs="Arial" w:hAnsiTheme="minorEastAsia"/>
          <w:sz w:val="30"/>
          <w:szCs w:val="30"/>
        </w:rPr>
      </w:pPr>
      <w:r>
        <w:rPr>
          <w:rFonts w:hint="eastAsia" w:ascii="仿宋_GB2312" w:eastAsia="仿宋_GB2312" w:cs="Arial" w:hAnsiTheme="minorEastAsia"/>
          <w:sz w:val="30"/>
          <w:szCs w:val="30"/>
        </w:rPr>
        <w:t>城市更新单元内开发建设用地（以下简称“开发建设用地”）是指出让给项目实施主体进行开发建设的用地。</w:t>
      </w:r>
    </w:p>
    <w:p>
      <w:pPr>
        <w:pStyle w:val="7"/>
        <w:spacing w:before="0" w:beforeAutospacing="0" w:after="0" w:afterAutospacing="0"/>
        <w:ind w:firstLine="645"/>
        <w:jc w:val="both"/>
        <w:rPr>
          <w:rFonts w:ascii="仿宋_GB2312" w:eastAsia="仿宋_GB2312" w:cs="Arial" w:hAnsiTheme="minorEastAsia"/>
          <w:sz w:val="30"/>
          <w:szCs w:val="30"/>
        </w:rPr>
      </w:pPr>
      <w:r>
        <w:rPr>
          <w:rFonts w:hint="eastAsia" w:ascii="仿宋_GB2312" w:eastAsia="仿宋_GB2312" w:cs="Arial" w:hAnsiTheme="minorEastAsia"/>
          <w:sz w:val="30"/>
          <w:szCs w:val="30"/>
        </w:rPr>
        <w:t>城市更新单元规划容积率是指城市更新单元规划容积与城市更新单元内开发建设用地面积的比率。</w:t>
      </w:r>
    </w:p>
    <w:p>
      <w:pPr>
        <w:pStyle w:val="7"/>
        <w:spacing w:before="0" w:beforeAutospacing="0" w:after="0" w:afterAutospacing="0"/>
        <w:ind w:firstLine="645"/>
        <w:jc w:val="both"/>
        <w:rPr>
          <w:rFonts w:ascii="仿宋_GB2312" w:eastAsia="仿宋_GB2312" w:cs="Arial" w:hAnsiTheme="minorEastAsia"/>
          <w:sz w:val="30"/>
          <w:szCs w:val="30"/>
        </w:rPr>
      </w:pPr>
      <w:r>
        <w:rPr>
          <w:rFonts w:hint="eastAsia" w:ascii="仿宋_GB2312" w:eastAsia="仿宋_GB2312" w:cs="Arial" w:hAnsiTheme="minorEastAsia"/>
          <w:sz w:val="30"/>
          <w:szCs w:val="30"/>
        </w:rPr>
        <w:t>城市更新单元</w:t>
      </w:r>
      <w:r>
        <w:rPr>
          <w:rFonts w:ascii="仿宋_GB2312" w:eastAsia="仿宋_GB2312" w:cs="Arial" w:hAnsiTheme="minorEastAsia"/>
          <w:sz w:val="30"/>
          <w:szCs w:val="30"/>
        </w:rPr>
        <w:t>基础容积率</w:t>
      </w:r>
      <w:r>
        <w:rPr>
          <w:rFonts w:hint="eastAsia" w:ascii="仿宋_GB2312" w:eastAsia="仿宋_GB2312" w:cs="Arial" w:hAnsiTheme="minorEastAsia"/>
          <w:sz w:val="30"/>
          <w:szCs w:val="30"/>
        </w:rPr>
        <w:t>是指基础容积</w:t>
      </w:r>
      <w:r>
        <w:rPr>
          <w:rFonts w:ascii="仿宋_GB2312" w:eastAsia="仿宋_GB2312" w:cs="Arial" w:hAnsiTheme="minorEastAsia"/>
          <w:sz w:val="30"/>
          <w:szCs w:val="30"/>
        </w:rPr>
        <w:t>与开发建设用地</w:t>
      </w:r>
      <w:r>
        <w:rPr>
          <w:rFonts w:hint="eastAsia" w:ascii="仿宋_GB2312" w:eastAsia="仿宋_GB2312" w:cs="Arial" w:hAnsiTheme="minorEastAsia"/>
          <w:sz w:val="30"/>
          <w:szCs w:val="30"/>
        </w:rPr>
        <w:t>面积</w:t>
      </w:r>
      <w:r>
        <w:rPr>
          <w:rFonts w:ascii="仿宋_GB2312" w:eastAsia="仿宋_GB2312" w:cs="Arial" w:hAnsiTheme="minorEastAsia"/>
          <w:sz w:val="30"/>
          <w:szCs w:val="30"/>
        </w:rPr>
        <w:t>的比率。</w:t>
      </w:r>
    </w:p>
    <w:p>
      <w:pPr>
        <w:pStyle w:val="7"/>
        <w:spacing w:before="0" w:beforeAutospacing="0" w:after="0" w:afterAutospacing="0"/>
        <w:ind w:firstLine="602" w:firstLineChars="200"/>
        <w:jc w:val="both"/>
        <w:rPr>
          <w:rFonts w:ascii="仿宋_GB2312" w:eastAsia="仿宋_GB2312" w:cs="Arial" w:hAnsiTheme="minorEastAsia"/>
          <w:sz w:val="30"/>
          <w:szCs w:val="30"/>
        </w:rPr>
      </w:pPr>
      <w:r>
        <w:rPr>
          <w:rFonts w:cs="Arial" w:asciiTheme="minorEastAsia" w:hAnsiTheme="minorEastAsia" w:eastAsiaTheme="minorEastAsia"/>
          <w:b/>
          <w:sz w:val="30"/>
          <w:szCs w:val="30"/>
        </w:rPr>
        <w:t>第四条</w:t>
      </w:r>
      <w:r>
        <w:rPr>
          <w:rFonts w:hint="eastAsia" w:cs="Arial" w:asciiTheme="minorEastAsia" w:hAnsiTheme="minorEastAsia" w:eastAsiaTheme="minorEastAsia"/>
          <w:sz w:val="30"/>
          <w:szCs w:val="30"/>
        </w:rPr>
        <w:t xml:space="preserve"> </w:t>
      </w:r>
      <w:r>
        <w:rPr>
          <w:rFonts w:hint="eastAsia" w:ascii="仿宋_GB2312" w:eastAsia="仿宋_GB2312" w:cs="Arial" w:hAnsiTheme="minorEastAsia"/>
          <w:sz w:val="30"/>
          <w:szCs w:val="30"/>
        </w:rPr>
        <w:t>基础容积是</w:t>
      </w:r>
      <w:r>
        <w:rPr>
          <w:rFonts w:ascii="仿宋_GB2312" w:eastAsia="仿宋_GB2312" w:cs="Arial" w:hAnsiTheme="minorEastAsia"/>
          <w:sz w:val="30"/>
          <w:szCs w:val="30"/>
        </w:rPr>
        <w:t>指开发建设用地各地块</w:t>
      </w:r>
      <w:r>
        <w:rPr>
          <w:rFonts w:hint="eastAsia" w:ascii="仿宋_GB2312" w:eastAsia="仿宋_GB2312" w:cs="Arial" w:hAnsiTheme="minorEastAsia"/>
          <w:sz w:val="30"/>
          <w:szCs w:val="30"/>
        </w:rPr>
        <w:t>基础容积之和。</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地块基础容积按照《深标》关于密度分区与容积率的有关规定进行测算</w:t>
      </w:r>
      <w:r>
        <w:rPr>
          <w:rFonts w:ascii="仿宋_GB2312" w:eastAsia="仿宋_GB2312" w:cs="Arial" w:hAnsiTheme="minorEastAsia"/>
          <w:sz w:val="30"/>
          <w:szCs w:val="30"/>
        </w:rPr>
        <w:t>。</w:t>
      </w:r>
      <w:r>
        <w:rPr>
          <w:rFonts w:hint="eastAsia" w:ascii="仿宋_GB2312" w:eastAsia="仿宋_GB2312" w:cs="Arial" w:hAnsiTheme="minorEastAsia"/>
          <w:sz w:val="30"/>
          <w:szCs w:val="30"/>
        </w:rPr>
        <w:t>其中，涉及以下情形的，应按以下规定测算：</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（一）地块规划为单一用地性质的，按主导用途进行测算，其兼容功能不纳入测算;</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二）居住、商业功能的混合用地，地块基础容积测算中居住功能占地块基础容积的比例取值如下：居住功能为第一主导功能的按60%取值；居住功能为第二主导功能的按40%取值。测算后，地块最终建筑功能实际比例可依据《深标》关于土地混合使用的有关规定具体确定。</w:t>
      </w:r>
    </w:p>
    <w:p>
      <w:pPr>
        <w:pStyle w:val="7"/>
        <w:spacing w:before="0" w:beforeAutospacing="0" w:after="0" w:afterAutospacing="0"/>
        <w:ind w:firstLine="602" w:firstLineChars="200"/>
        <w:jc w:val="both"/>
        <w:rPr>
          <w:rFonts w:ascii="仿宋_GB2312" w:eastAsia="仿宋_GB2312" w:cs="Arial" w:hAnsiTheme="minorEastAsia"/>
          <w:sz w:val="30"/>
          <w:szCs w:val="30"/>
        </w:rPr>
      </w:pPr>
      <w:r>
        <w:rPr>
          <w:rFonts w:hint="eastAsia" w:cs="Arial" w:asciiTheme="minorEastAsia" w:hAnsiTheme="minorEastAsia" w:eastAsiaTheme="minorEastAsia"/>
          <w:b/>
          <w:sz w:val="30"/>
          <w:szCs w:val="30"/>
        </w:rPr>
        <w:t xml:space="preserve">第五条 </w:t>
      </w:r>
      <w:r>
        <w:rPr>
          <w:rFonts w:hint="eastAsia" w:ascii="仿宋_GB2312" w:eastAsia="仿宋_GB2312" w:cs="Arial" w:hAnsiTheme="minorEastAsia"/>
          <w:sz w:val="30"/>
          <w:szCs w:val="30"/>
        </w:rPr>
        <w:t>转移容积是指城市更新单元内按本规定可转移至开发建设用地范围内的容积。</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符合以下情形的，可计入转移容积：</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 xml:space="preserve">（一）城市更新单元拆除用地范围内经核算的实际土地移交用地面积（含无偿移交的历史建筑及历史风貌区用地面积、不含清退用地面积）超出基准土地移交用地面积的，超出的用地面积与城市更新单元基础容积率的乘积作为转移容积。 </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其中，移交用地具有以下情形之一的，再增加该类型移交用地面积与城市更新单元基础容积率乘积的</w:t>
      </w:r>
      <w:r>
        <w:rPr>
          <w:rFonts w:ascii="仿宋_GB2312" w:eastAsia="仿宋_GB2312" w:cs="Arial" w:hAnsiTheme="minorEastAsia"/>
          <w:sz w:val="30"/>
          <w:szCs w:val="30"/>
        </w:rPr>
        <w:t>30</w:t>
      </w:r>
      <w:r>
        <w:rPr>
          <w:rFonts w:hint="eastAsia" w:ascii="仿宋_GB2312" w:eastAsia="仿宋_GB2312" w:cs="Arial" w:hAnsiTheme="minorEastAsia"/>
          <w:sz w:val="30"/>
          <w:szCs w:val="30"/>
        </w:rPr>
        <w:t>%计入转移容积：</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1、在符合国家、广东省及深圳市相关设计标准规范的前提下，在法定规划的基础上额外落实或扩大片区所需的小学、初中或九年一贯制学校用地的，移交用地面积按照额外落实的或扩大的用地面积确定。如法定规划仅规定学校班数而未明确用地面积的，则学校用地面积基数按《深标》规定的中间值核算;</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2、落实高中、综合医院用地的，移交用地面积按照高中、综合医院用地面积确定;</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ascii="仿宋_GB2312" w:eastAsia="仿宋_GB2312" w:cs="Arial" w:hAnsiTheme="minorEastAsia"/>
          <w:sz w:val="30"/>
          <w:szCs w:val="30"/>
        </w:rPr>
        <w:t>3</w:t>
      </w:r>
      <w:r>
        <w:rPr>
          <w:rFonts w:hint="eastAsia" w:ascii="仿宋_GB2312" w:eastAsia="仿宋_GB2312" w:cs="Arial" w:hAnsiTheme="minorEastAsia"/>
          <w:sz w:val="30"/>
          <w:szCs w:val="30"/>
        </w:rPr>
        <w:t>、在法定规划基础上额外落实占地面积不小于3</w:t>
      </w:r>
      <w:r>
        <w:rPr>
          <w:rFonts w:ascii="仿宋_GB2312" w:eastAsia="仿宋_GB2312" w:cs="Arial" w:hAnsiTheme="minorEastAsia"/>
          <w:sz w:val="30"/>
          <w:szCs w:val="30"/>
        </w:rPr>
        <w:t>000</w:t>
      </w:r>
      <w:r>
        <w:rPr>
          <w:rFonts w:hint="eastAsia" w:ascii="仿宋_GB2312" w:eastAsia="仿宋_GB2312" w:cs="Arial" w:hAnsiTheme="minorEastAsia"/>
          <w:sz w:val="30"/>
          <w:szCs w:val="30"/>
        </w:rPr>
        <w:t>平方米的文化设施用地的，移交用地面积按照文化设施用地面积确定;</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4、保留已纳入市政府公布的深圳市历史风貌区、历史建筑名录或市主管部门认定为有保留价值的历史风貌区或历史建筑，且实施主体承担修缮、整治费用及责任，并将土地及地上建、构筑物产权无偿移交政府的。规划申报主体应当根据经批准的更新单元规划历史文化保护与利用专项研究要求制订历史风貌区或历史建筑修缮及整治实施方案报辖区政府（含新区管委会）审定，并由辖区政府（含新区管委会）指定具体部门接收完成修缮整治后的相关产权 。</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（二）根据《深圳市城市更新外部移交公共设施用地实施管理规定》可转移至城市更新单元开发建设用地范围内的建筑面积作为城市更新单元拆除用地范围外的转移容积进行核算。</w:t>
      </w:r>
    </w:p>
    <w:p>
      <w:pPr>
        <w:pStyle w:val="7"/>
        <w:spacing w:before="0" w:beforeAutospacing="0" w:after="0" w:afterAutospacing="0"/>
        <w:ind w:firstLine="645"/>
        <w:jc w:val="both"/>
        <w:rPr>
          <w:rFonts w:ascii="仿宋_GB2312" w:eastAsia="仿宋_GB2312" w:cs="Arial" w:hAnsiTheme="minorEastAsia"/>
          <w:sz w:val="30"/>
          <w:szCs w:val="30"/>
        </w:rPr>
      </w:pPr>
      <w:r>
        <w:rPr>
          <w:rFonts w:hint="eastAsia" w:cs="Arial" w:asciiTheme="minorEastAsia" w:hAnsiTheme="minorEastAsia" w:eastAsiaTheme="minorEastAsia"/>
          <w:b/>
          <w:sz w:val="30"/>
          <w:szCs w:val="30"/>
        </w:rPr>
        <w:t xml:space="preserve">第六条 </w:t>
      </w:r>
      <w:r>
        <w:rPr>
          <w:rFonts w:hint="eastAsia" w:ascii="仿宋_GB2312" w:eastAsia="仿宋_GB2312" w:cs="Arial" w:hAnsiTheme="minorEastAsia"/>
          <w:sz w:val="30"/>
          <w:szCs w:val="30"/>
        </w:rPr>
        <w:t>奖励容积是指为保障公共利益目的的实现，依据本规定给予奖励的容积。</w:t>
      </w:r>
    </w:p>
    <w:p>
      <w:pPr>
        <w:pStyle w:val="7"/>
        <w:spacing w:before="0" w:beforeAutospacing="0" w:after="0" w:afterAutospacing="0"/>
        <w:ind w:firstLine="645"/>
        <w:jc w:val="both"/>
        <w:rPr>
          <w:rFonts w:ascii="仿宋_GB2312" w:eastAsia="仿宋_GB2312" w:cs="Arial" w:hAnsiTheme="minorEastAsia"/>
          <w:sz w:val="30"/>
          <w:szCs w:val="30"/>
        </w:rPr>
      </w:pPr>
      <w:r>
        <w:rPr>
          <w:rFonts w:hint="eastAsia" w:ascii="仿宋_GB2312" w:eastAsia="仿宋_GB2312" w:cs="Arial" w:hAnsiTheme="minorEastAsia"/>
          <w:sz w:val="30"/>
          <w:szCs w:val="30"/>
        </w:rPr>
        <w:t>符合以下情形的，可计入奖励容积：</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（一） 开发建设用地中，依据《关于加强和改进城市更新实施工作的暂行措施》、《深圳市城市更新项目保障性住房配建规定》和《深圳市城市更新项目创新型产业用房配建规定》等规定配建的安居型商品房、公共租赁住房、人才住房及创新型产业用房等政策性用房，除明确规定计入基础容积的，其余建筑面积计入奖励容积。</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在上述规定外增配的安居型商品房、公共租赁住房、人才住房及创新型产业用房等政策性用房，其建筑面积不作为奖励容积。</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二）开发建设用地中，按法定规划及《深标》、《暂行措施》等要求落实的附建式公共服务设施、交通设施及市政设施，其建筑面积计入奖励容积。其中，社区健康服务中心和社区老年人日间照料中心，按其建筑面积的2倍计入奖励容积；垃圾转运站（含再生资源回收站、环卫工人作息房、公共厕所）和变电站，按其建筑面积的3倍计入奖励容积。</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三）城市更新单元内为连通城市公交场站、轨道站点或重要的城市公共空间，经核准设置24小时无条件对所有市民开放的地面通道、地下通道、架空连廊，并由实施主体承担建设责任及费用的，按其对应的投影面积计入奖励容积。</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四）城市更新单元拆除用地范围内，保留已纳入市政府公布的深圳市历史建筑名录或市主管部门认定有保留价值的历史建筑但不按照第五条第二款第一项要求移交用地的，按保留建筑的建筑面积的1.5倍及保留构筑物的投影面积的1.5倍计入奖励容积。规划申报主体应同时制订历史建筑修缮及整治实施方案报辖区政府（含新区管委会）审定，并由实施主体承担保留建、构筑物的活化和综合整治责任及费用。</w:t>
      </w:r>
    </w:p>
    <w:p>
      <w:pPr>
        <w:pStyle w:val="7"/>
        <w:spacing w:before="0" w:beforeAutospacing="0" w:after="0" w:afterAutospacing="0"/>
        <w:ind w:left="567"/>
        <w:jc w:val="both"/>
        <w:rPr>
          <w:rFonts w:ascii="仿宋_GB2312" w:eastAsia="仿宋_GB2312" w:cs="Arial" w:hAnsiTheme="minorEastAsia"/>
          <w:sz w:val="30"/>
          <w:szCs w:val="30"/>
        </w:rPr>
      </w:pPr>
      <w:r>
        <w:rPr>
          <w:rFonts w:hint="eastAsia" w:ascii="仿宋_GB2312" w:eastAsia="仿宋_GB2312" w:cs="Arial" w:hAnsiTheme="minorEastAsia"/>
          <w:sz w:val="30"/>
          <w:szCs w:val="30"/>
        </w:rPr>
        <w:t>（五）市政府规定的其他奖励情形。</w:t>
      </w:r>
    </w:p>
    <w:p>
      <w:pPr>
        <w:pStyle w:val="7"/>
        <w:spacing w:before="0" w:beforeAutospacing="0" w:after="0" w:afterAutospacing="0"/>
        <w:ind w:firstLine="600" w:firstLineChars="200"/>
        <w:jc w:val="both"/>
        <w:rPr>
          <w:rFonts w:ascii="仿宋_GB2312" w:eastAsia="仿宋_GB2312" w:cs="Arial" w:hAnsiTheme="minorEastAsia"/>
          <w:sz w:val="30"/>
          <w:szCs w:val="30"/>
        </w:rPr>
      </w:pPr>
      <w:r>
        <w:rPr>
          <w:rFonts w:hint="eastAsia" w:ascii="仿宋_GB2312" w:eastAsia="仿宋_GB2312" w:cs="Arial" w:hAnsiTheme="minorEastAsia"/>
          <w:sz w:val="30"/>
          <w:szCs w:val="30"/>
        </w:rPr>
        <w:t xml:space="preserve">上述奖励容积之和不应超出基础容积的30%。因配建安居型商品房、公共租赁住房、人才住房所核算的奖励容积超出基础容积20%的部分可不受本款限制。 </w:t>
      </w:r>
    </w:p>
    <w:p>
      <w:pPr>
        <w:pStyle w:val="7"/>
        <w:spacing w:before="0" w:beforeAutospacing="0" w:after="0" w:afterAutospacing="0"/>
        <w:ind w:firstLine="645"/>
        <w:jc w:val="both"/>
        <w:rPr>
          <w:rFonts w:ascii="仿宋_GB2312" w:eastAsia="仿宋_GB2312" w:cs="Arial" w:hAnsiTheme="minorEastAsia"/>
          <w:sz w:val="30"/>
          <w:szCs w:val="30"/>
        </w:rPr>
      </w:pPr>
      <w:r>
        <w:rPr>
          <w:rFonts w:hint="eastAsia" w:cs="Arial" w:asciiTheme="minorEastAsia" w:hAnsiTheme="minorEastAsia" w:eastAsiaTheme="minorEastAsia"/>
          <w:b/>
          <w:sz w:val="30"/>
          <w:szCs w:val="30"/>
        </w:rPr>
        <w:t xml:space="preserve">第七条 </w:t>
      </w:r>
      <w:r>
        <w:rPr>
          <w:rFonts w:hint="eastAsia" w:ascii="仿宋_GB2312" w:eastAsia="仿宋_GB2312" w:cs="Arial" w:hAnsiTheme="minorEastAsia"/>
          <w:sz w:val="30"/>
          <w:szCs w:val="30"/>
        </w:rPr>
        <w:t>在符合《深标》有关规定，且不改变城市更新单元主导功能及规划地块混合用地性质的前提下，转移容积、奖励容积可在更新单元开发建设用地内统筹安排。为保障全市住房供应、促进职住平衡，城市更新单元计划方向含居住的，可优先安排居住功能。</w:t>
      </w:r>
    </w:p>
    <w:p>
      <w:pPr>
        <w:pStyle w:val="7"/>
        <w:spacing w:before="0" w:beforeAutospacing="0" w:after="0" w:afterAutospacing="0"/>
        <w:ind w:firstLine="645"/>
        <w:jc w:val="both"/>
        <w:rPr>
          <w:rFonts w:ascii="仿宋_GB2312" w:eastAsia="仿宋_GB2312" w:cs="Arial" w:hAnsiTheme="minorEastAsia"/>
          <w:sz w:val="30"/>
          <w:szCs w:val="30"/>
        </w:rPr>
      </w:pPr>
      <w:r>
        <w:rPr>
          <w:rFonts w:hint="eastAsia" w:ascii="仿宋_GB2312" w:eastAsia="仿宋_GB2312" w:cs="Arial" w:hAnsiTheme="minorEastAsia"/>
          <w:sz w:val="30"/>
          <w:szCs w:val="30"/>
        </w:rPr>
        <w:t>单一用地性质的居住用地，除无偿移交政府的公共配套设施建筑面积之外，其规划容积应符合《深标》规定的居住容积率上限。</w:t>
      </w:r>
    </w:p>
    <w:p>
      <w:pPr>
        <w:pStyle w:val="7"/>
        <w:spacing w:before="0" w:beforeAutospacing="0" w:after="0" w:afterAutospacing="0"/>
        <w:ind w:firstLine="645"/>
        <w:jc w:val="both"/>
        <w:rPr>
          <w:rFonts w:ascii="仿宋_GB2312" w:eastAsia="仿宋_GB2312" w:cs="Arial" w:hAnsiTheme="minorEastAsia"/>
          <w:sz w:val="30"/>
          <w:szCs w:val="30"/>
        </w:rPr>
      </w:pPr>
      <w:r>
        <w:rPr>
          <w:rFonts w:hint="eastAsia" w:ascii="仿宋_GB2312" w:eastAsia="仿宋_GB2312" w:cs="Arial" w:hAnsiTheme="minorEastAsia"/>
          <w:sz w:val="30"/>
          <w:szCs w:val="30"/>
        </w:rPr>
        <w:t>含居住功能的混合用地，其规划住宅建筑面积应符合《深标》规定的居住容积率上限。</w:t>
      </w:r>
    </w:p>
    <w:p>
      <w:pPr>
        <w:spacing w:line="540" w:lineRule="exact"/>
        <w:ind w:firstLine="602" w:firstLineChars="200"/>
        <w:rPr>
          <w:rFonts w:cs="Arial" w:asciiTheme="minorEastAsia" w:hAnsiTheme="minorEastAsia"/>
          <w:sz w:val="30"/>
          <w:szCs w:val="30"/>
        </w:rPr>
      </w:pPr>
      <w:r>
        <w:rPr>
          <w:rFonts w:hint="eastAsia" w:cs="Arial" w:asciiTheme="minorEastAsia" w:hAnsiTheme="minorEastAsia"/>
          <w:b/>
          <w:sz w:val="30"/>
          <w:szCs w:val="30"/>
        </w:rPr>
        <w:t>第八条</w:t>
      </w:r>
      <w:r>
        <w:rPr>
          <w:rFonts w:hint="eastAsia" w:cs="Arial" w:asciiTheme="minorEastAsia" w:hAnsiTheme="minorEastAsia"/>
          <w:sz w:val="30"/>
          <w:szCs w:val="30"/>
        </w:rPr>
        <w:tab/>
      </w:r>
      <w:r>
        <w:rPr>
          <w:rFonts w:hint="eastAsia" w:ascii="仿宋_GB2312" w:eastAsia="仿宋_GB2312" w:cs="Arial" w:hAnsiTheme="minorEastAsia"/>
          <w:kern w:val="0"/>
          <w:sz w:val="30"/>
          <w:szCs w:val="30"/>
        </w:rPr>
        <w:t>现状容积率超过2.5的城中村、旧屋村，原则上不进行拆除重建类城市更新。</w:t>
      </w:r>
    </w:p>
    <w:p>
      <w:pPr>
        <w:spacing w:line="54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对于2016年12月28日之前已经市城市更新主管部门或区政府</w:t>
      </w:r>
      <w:r>
        <w:rPr>
          <w:rFonts w:hint="eastAsia" w:ascii="仿宋_GB2312" w:eastAsia="仿宋_GB2312" w:cs="Arial" w:hAnsiTheme="minorEastAsia"/>
          <w:sz w:val="30"/>
          <w:szCs w:val="30"/>
        </w:rPr>
        <w:t>（新区管委会）</w:t>
      </w:r>
      <w:r>
        <w:rPr>
          <w:rFonts w:hint="eastAsia" w:ascii="仿宋_GB2312" w:eastAsia="仿宋_GB2312" w:cs="Arial" w:hAnsiTheme="minorEastAsia"/>
          <w:kern w:val="0"/>
          <w:sz w:val="30"/>
          <w:szCs w:val="30"/>
        </w:rPr>
        <w:t>审议通过更新计划（含调整计划）的城中村、旧屋村项目，在同时满足以下条件的情况下，其规划容积率的审查可综合考虑住房回迁、项目可实施性等因素，按照表1的净拆建比参考值对规划容积进行校核。</w:t>
      </w:r>
    </w:p>
    <w:p>
      <w:pPr>
        <w:spacing w:line="54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（一）拆除范围内现状容积率不低于2.5，现状建筑面积以深圳市地籍测绘大队直接出具或审核的测绘查丈报告为准；</w:t>
      </w:r>
    </w:p>
    <w:p>
      <w:pPr>
        <w:spacing w:line="54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（二）城中村、旧屋村合法用地占拆除范围用地的比例不低于70%。</w:t>
      </w:r>
    </w:p>
    <w:p>
      <w:pPr>
        <w:jc w:val="center"/>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表1净拆建比校核取值参考表</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8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hint="eastAsia" w:ascii="仿宋_GB2312" w:eastAsia="仿宋_GB2312" w:cs="Arial" w:hAnsiTheme="minorEastAsia"/>
                <w:kern w:val="0"/>
                <w:sz w:val="28"/>
                <w:szCs w:val="28"/>
              </w:rPr>
              <w:t>拆除范围用地面积（公顷）</w:t>
            </w:r>
          </w:p>
        </w:tc>
        <w:tc>
          <w:tcPr>
            <w:tcW w:w="374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hint="eastAsia" w:ascii="仿宋_GB2312" w:eastAsia="仿宋_GB2312" w:cs="Arial" w:hAnsiTheme="minorEastAsia"/>
                <w:kern w:val="0"/>
                <w:sz w:val="28"/>
                <w:szCs w:val="28"/>
              </w:rPr>
              <w:t>净拆建比参考上限值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8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hint="eastAsia" w:ascii="仿宋_GB2312" w:eastAsia="仿宋_GB2312" w:cs="Arial" w:hAnsiTheme="minorEastAsia"/>
                <w:kern w:val="0"/>
                <w:sz w:val="28"/>
                <w:szCs w:val="28"/>
              </w:rPr>
              <w:t>用地面积≤</w:t>
            </w:r>
            <w:r>
              <w:rPr>
                <w:rFonts w:ascii="仿宋_GB2312" w:eastAsia="仿宋_GB2312" w:cs="Arial" w:hAnsiTheme="minorEastAsia"/>
                <w:kern w:val="0"/>
                <w:sz w:val="28"/>
                <w:szCs w:val="28"/>
              </w:rPr>
              <w:t xml:space="preserve">10 </w:t>
            </w:r>
          </w:p>
        </w:tc>
        <w:tc>
          <w:tcPr>
            <w:tcW w:w="374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ascii="仿宋_GB2312" w:eastAsia="仿宋_GB2312" w:cs="Arial" w:hAnsiTheme="minorEastAsia"/>
                <w:kern w:val="0"/>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8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ascii="仿宋_GB2312" w:eastAsia="仿宋_GB2312" w:cs="Arial" w:hAnsiTheme="minorEastAsia"/>
                <w:kern w:val="0"/>
                <w:sz w:val="28"/>
                <w:szCs w:val="28"/>
              </w:rPr>
              <w:t xml:space="preserve">10＜用地面积≤20 </w:t>
            </w:r>
          </w:p>
        </w:tc>
        <w:tc>
          <w:tcPr>
            <w:tcW w:w="374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ascii="仿宋_GB2312" w:eastAsia="仿宋_GB2312" w:cs="Arial" w:hAnsiTheme="minorEastAsia"/>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8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ascii="仿宋_GB2312" w:eastAsia="仿宋_GB2312" w:cs="Arial" w:hAnsiTheme="minorEastAsia"/>
                <w:kern w:val="0"/>
                <w:sz w:val="28"/>
                <w:szCs w:val="28"/>
              </w:rPr>
              <w:t>20＜用地面积≤30</w:t>
            </w:r>
          </w:p>
        </w:tc>
        <w:tc>
          <w:tcPr>
            <w:tcW w:w="374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ascii="仿宋_GB2312" w:eastAsia="仿宋_GB2312" w:cs="Arial" w:hAnsiTheme="minorEastAsia"/>
                <w:kern w:val="0"/>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8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ascii="仿宋_GB2312" w:eastAsia="仿宋_GB2312" w:cs="Arial" w:hAnsiTheme="minorEastAsia"/>
                <w:kern w:val="0"/>
                <w:sz w:val="28"/>
                <w:szCs w:val="28"/>
              </w:rPr>
              <w:t>30＜用地面积≤40</w:t>
            </w:r>
          </w:p>
        </w:tc>
        <w:tc>
          <w:tcPr>
            <w:tcW w:w="374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ascii="仿宋_GB2312" w:eastAsia="仿宋_GB2312" w:cs="Arial" w:hAnsiTheme="minorEastAsia"/>
                <w:kern w:val="0"/>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78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hint="eastAsia" w:ascii="仿宋_GB2312" w:eastAsia="仿宋_GB2312" w:cs="Arial" w:hAnsiTheme="minorEastAsia"/>
                <w:kern w:val="0"/>
                <w:sz w:val="28"/>
                <w:szCs w:val="28"/>
              </w:rPr>
              <w:t>用地面积＞</w:t>
            </w:r>
            <w:r>
              <w:rPr>
                <w:rFonts w:ascii="仿宋_GB2312" w:eastAsia="仿宋_GB2312" w:cs="Arial" w:hAnsiTheme="minorEastAsia"/>
                <w:kern w:val="0"/>
                <w:sz w:val="28"/>
                <w:szCs w:val="28"/>
              </w:rPr>
              <w:t xml:space="preserve">40 </w:t>
            </w:r>
          </w:p>
        </w:tc>
        <w:tc>
          <w:tcPr>
            <w:tcW w:w="3741" w:type="dxa"/>
            <w:shd w:val="clear" w:color="auto" w:fill="auto"/>
            <w:vAlign w:val="center"/>
          </w:tcPr>
          <w:p>
            <w:pPr>
              <w:spacing w:line="240" w:lineRule="atLeast"/>
              <w:jc w:val="center"/>
              <w:rPr>
                <w:rFonts w:ascii="仿宋_GB2312" w:eastAsia="仿宋_GB2312" w:cs="Arial" w:hAnsiTheme="minorEastAsia"/>
                <w:kern w:val="0"/>
                <w:sz w:val="28"/>
                <w:szCs w:val="28"/>
              </w:rPr>
            </w:pPr>
            <w:r>
              <w:rPr>
                <w:rFonts w:ascii="仿宋_GB2312" w:eastAsia="仿宋_GB2312" w:cs="Arial" w:hAnsiTheme="minorEastAsia"/>
                <w:kern w:val="0"/>
                <w:sz w:val="28"/>
                <w:szCs w:val="28"/>
              </w:rPr>
              <w:t>2.3</w:t>
            </w:r>
          </w:p>
        </w:tc>
      </w:tr>
    </w:tbl>
    <w:p>
      <w:pPr>
        <w:spacing w:line="40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备注：净拆建比是指项目规划容积扣减按照城市更新政策配建的政策性用房及公共配套设施、市政配套设施等建构筑物面积之后与拆除范围内现状建筑面积的比值。</w:t>
      </w:r>
    </w:p>
    <w:p>
      <w:pPr>
        <w:spacing w:line="400" w:lineRule="exact"/>
        <w:ind w:firstLine="600" w:firstLineChars="200"/>
        <w:rPr>
          <w:rFonts w:ascii="仿宋_GB2312" w:eastAsia="仿宋_GB2312" w:cs="Arial" w:hAnsiTheme="minorEastAsia"/>
          <w:kern w:val="0"/>
          <w:sz w:val="30"/>
          <w:szCs w:val="30"/>
        </w:rPr>
      </w:pPr>
    </w:p>
    <w:p>
      <w:pPr>
        <w:pStyle w:val="7"/>
        <w:spacing w:before="0" w:beforeAutospacing="0" w:after="0" w:afterAutospacing="0"/>
        <w:ind w:firstLine="590" w:firstLineChars="196"/>
        <w:jc w:val="both"/>
        <w:rPr>
          <w:rFonts w:cs="Arial" w:asciiTheme="minorEastAsia" w:hAnsiTheme="minorEastAsia" w:eastAsiaTheme="minorEastAsia"/>
          <w:sz w:val="30"/>
          <w:szCs w:val="30"/>
        </w:rPr>
      </w:pPr>
      <w:r>
        <w:rPr>
          <w:rFonts w:hint="eastAsia" w:cs="Arial" w:asciiTheme="minorEastAsia" w:hAnsiTheme="minorEastAsia" w:eastAsiaTheme="minorEastAsia"/>
          <w:b/>
          <w:sz w:val="30"/>
          <w:szCs w:val="30"/>
        </w:rPr>
        <w:t>第九条</w:t>
      </w:r>
      <w:r>
        <w:rPr>
          <w:rFonts w:hint="eastAsia" w:cs="Arial" w:asciiTheme="minorEastAsia" w:hAnsiTheme="minorEastAsia" w:eastAsiaTheme="minorEastAsia"/>
          <w:sz w:val="30"/>
          <w:szCs w:val="30"/>
        </w:rPr>
        <w:t xml:space="preserve"> </w:t>
      </w:r>
      <w:r>
        <w:rPr>
          <w:rFonts w:hint="eastAsia" w:ascii="仿宋_GB2312" w:eastAsia="仿宋_GB2312" w:cs="Arial" w:hAnsiTheme="minorEastAsia"/>
          <w:sz w:val="30"/>
          <w:szCs w:val="30"/>
        </w:rPr>
        <w:t>除机场、码头、港口、核电站等特殊管理地区外，因城市规划调整而出现的密度分区未覆盖地区，用地位于一般地区的原则上应按照相邻片区同等密度分区确定；用地紧邻基本生态控制线等生态敏感地区，原则上应比相邻片区密度分区下降一区确定。</w:t>
      </w:r>
    </w:p>
    <w:p>
      <w:pPr>
        <w:pStyle w:val="7"/>
        <w:spacing w:before="0" w:beforeAutospacing="0" w:after="0" w:afterAutospacing="0"/>
        <w:ind w:firstLine="590" w:firstLineChars="196"/>
        <w:jc w:val="both"/>
        <w:rPr>
          <w:rFonts w:ascii="仿宋_GB2312" w:eastAsia="仿宋_GB2312" w:cs="Arial" w:hAnsiTheme="minorEastAsia"/>
          <w:sz w:val="30"/>
          <w:szCs w:val="30"/>
        </w:rPr>
      </w:pPr>
      <w:r>
        <w:rPr>
          <w:rFonts w:hint="eastAsia" w:cs="Arial" w:asciiTheme="minorEastAsia" w:hAnsiTheme="minorEastAsia" w:eastAsiaTheme="minorEastAsia"/>
          <w:b/>
          <w:sz w:val="30"/>
          <w:szCs w:val="30"/>
        </w:rPr>
        <w:t>第十条</w:t>
      </w:r>
      <w:r>
        <w:rPr>
          <w:rFonts w:hint="eastAsia" w:ascii="仿宋_GB2312" w:eastAsia="仿宋_GB2312" w:cs="Arial" w:hAnsiTheme="minorEastAsia"/>
          <w:sz w:val="30"/>
          <w:szCs w:val="30"/>
        </w:rPr>
        <w:t xml:space="preserve"> 按照上述规定核算后的规划容积还应按城市更新单元规划编制技术规定要求开展论证。规划容积应满足公共服务设施、交通设施、市政设施承载能力及特色风貌区、生态敏感、核电防护、地质安全、机场限高等特定要求，无法满足的，应适当降低。</w:t>
      </w:r>
    </w:p>
    <w:p>
      <w:pPr>
        <w:pStyle w:val="7"/>
        <w:spacing w:before="0" w:beforeAutospacing="0" w:after="0" w:afterAutospacing="0"/>
        <w:ind w:firstLine="555"/>
        <w:jc w:val="both"/>
        <w:rPr>
          <w:rFonts w:cs="Arial" w:asciiTheme="minorEastAsia" w:hAnsiTheme="minorEastAsia" w:eastAsiaTheme="minorEastAsia"/>
          <w:sz w:val="30"/>
          <w:szCs w:val="30"/>
        </w:rPr>
      </w:pPr>
      <w:r>
        <w:rPr>
          <w:rFonts w:hint="eastAsia" w:ascii="仿宋_GB2312" w:eastAsia="仿宋_GB2312" w:cs="Arial" w:hAnsiTheme="minorEastAsia"/>
          <w:sz w:val="30"/>
          <w:szCs w:val="30"/>
        </w:rPr>
        <w:t>规划容积在核算及技术论证的基础上拟定，并按法定程序批准确定。</w:t>
      </w:r>
    </w:p>
    <w:p>
      <w:pPr>
        <w:pStyle w:val="7"/>
        <w:spacing w:before="0" w:beforeAutospacing="0" w:after="0" w:afterAutospacing="0"/>
        <w:ind w:firstLine="602" w:firstLineChars="200"/>
        <w:jc w:val="both"/>
        <w:rPr>
          <w:rFonts w:ascii="仿宋_GB2312" w:eastAsia="仿宋_GB2312" w:cs="Arial" w:hAnsiTheme="minorEastAsia"/>
          <w:sz w:val="30"/>
          <w:szCs w:val="30"/>
        </w:rPr>
      </w:pPr>
      <w:r>
        <w:rPr>
          <w:rFonts w:hint="eastAsia" w:cs="Arial" w:asciiTheme="minorEastAsia" w:hAnsiTheme="minorEastAsia" w:eastAsiaTheme="minorEastAsia"/>
          <w:b/>
          <w:sz w:val="30"/>
          <w:szCs w:val="30"/>
        </w:rPr>
        <w:t xml:space="preserve">第十一条 </w:t>
      </w:r>
      <w:r>
        <w:rPr>
          <w:rFonts w:hint="eastAsia" w:ascii="仿宋_GB2312" w:eastAsia="仿宋_GB2312" w:cs="Arial" w:hAnsiTheme="minorEastAsia"/>
          <w:sz w:val="30"/>
          <w:szCs w:val="30"/>
        </w:rPr>
        <w:t>规划容积按照所在片区已批法定图则确定的开发建设量申报的，可直接依据法定图则确定。</w:t>
      </w:r>
    </w:p>
    <w:p>
      <w:pPr>
        <w:pStyle w:val="7"/>
        <w:spacing w:before="0" w:beforeAutospacing="0" w:after="0" w:afterAutospacing="0"/>
        <w:ind w:firstLine="602"/>
        <w:jc w:val="both"/>
        <w:rPr>
          <w:rFonts w:cs="Arial" w:asciiTheme="minorEastAsia" w:hAnsiTheme="minorEastAsia" w:eastAsiaTheme="minorEastAsia"/>
          <w:sz w:val="30"/>
          <w:szCs w:val="30"/>
        </w:rPr>
      </w:pPr>
      <w:r>
        <w:rPr>
          <w:rFonts w:hint="eastAsia" w:cs="Arial" w:asciiTheme="minorEastAsia" w:hAnsiTheme="minorEastAsia" w:eastAsiaTheme="minorEastAsia"/>
          <w:b/>
          <w:sz w:val="30"/>
          <w:szCs w:val="30"/>
        </w:rPr>
        <w:t>第十二条</w:t>
      </w:r>
      <w:r>
        <w:rPr>
          <w:rFonts w:hint="eastAsia" w:cs="Arial" w:asciiTheme="minorEastAsia" w:hAnsiTheme="minorEastAsia" w:eastAsiaTheme="minorEastAsia"/>
          <w:sz w:val="30"/>
          <w:szCs w:val="30"/>
        </w:rPr>
        <w:t xml:space="preserve"> </w:t>
      </w:r>
      <w:r>
        <w:rPr>
          <w:rFonts w:hint="eastAsia" w:ascii="仿宋_GB2312" w:eastAsia="仿宋_GB2312" w:cs="Arial" w:hAnsiTheme="minorEastAsia"/>
          <w:sz w:val="30"/>
          <w:szCs w:val="30"/>
        </w:rPr>
        <w:t>市政府另有规定规划容积可适当提高的其他情形，应按照相关规定程序批准确定。</w:t>
      </w:r>
    </w:p>
    <w:p>
      <w:pPr>
        <w:spacing w:line="560" w:lineRule="exact"/>
        <w:ind w:firstLine="602" w:firstLineChars="200"/>
        <w:rPr>
          <w:rFonts w:ascii="仿宋_GB2312" w:eastAsia="仿宋_GB2312" w:cs="Arial" w:hAnsiTheme="minorEastAsia"/>
          <w:kern w:val="0"/>
          <w:sz w:val="30"/>
          <w:szCs w:val="30"/>
        </w:rPr>
      </w:pPr>
      <w:r>
        <w:rPr>
          <w:rFonts w:hint="eastAsia" w:cs="Arial" w:asciiTheme="minorEastAsia" w:hAnsiTheme="minorEastAsia"/>
          <w:b/>
          <w:kern w:val="0"/>
          <w:sz w:val="30"/>
          <w:szCs w:val="30"/>
        </w:rPr>
        <w:t>第十三条</w:t>
      </w:r>
      <w:r>
        <w:rPr>
          <w:rFonts w:hint="eastAsia" w:cs="Arial" w:asciiTheme="minorEastAsia" w:hAnsiTheme="minorEastAsia"/>
          <w:kern w:val="0"/>
          <w:sz w:val="30"/>
          <w:szCs w:val="30"/>
        </w:rPr>
        <w:t xml:space="preserve"> </w:t>
      </w:r>
      <w:r>
        <w:rPr>
          <w:rFonts w:hint="eastAsia" w:ascii="仿宋_GB2312" w:eastAsia="仿宋_GB2312" w:cs="Arial" w:hAnsiTheme="minorEastAsia"/>
          <w:kern w:val="0"/>
          <w:sz w:val="30"/>
          <w:szCs w:val="30"/>
        </w:rPr>
        <w:t>对于已通过市城市更新主管部门或区政府（新区管委会）审议并公示的城市更新单元规划，应严格控制规划容积的调整。</w:t>
      </w:r>
    </w:p>
    <w:p>
      <w:pPr>
        <w:spacing w:line="56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（一）城市更新单元规划获批准两年以内的城市更新项目原则上不予以调整已批规划容积；已签订土地使用权出让合同的城市更新项目，不再按照城市更新相关规则调整已批规划容积。</w:t>
      </w:r>
    </w:p>
    <w:p>
      <w:pPr>
        <w:spacing w:line="56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（二）在上述（一）款情况外，符合《深标》及相关规范的前提下，属下列情形之一的，方可申请调整规划容积。</w:t>
      </w:r>
    </w:p>
    <w:p>
      <w:pPr>
        <w:spacing w:line="56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1、因城市发展所需增配公共服务设施（含非营利性的民办学校）、交通设施、市政设施导致更新单元开发条件发生变化，且除上述设施建筑面积外，不增加其他经营性建筑面积的；</w:t>
      </w:r>
    </w:p>
    <w:p>
      <w:pPr>
        <w:spacing w:line="56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2、因城市公共利益所需参照最新配建标准增配</w:t>
      </w:r>
      <w:r>
        <w:rPr>
          <w:rFonts w:hint="eastAsia" w:ascii="仿宋_GB2312" w:eastAsia="仿宋_GB2312" w:cs="Arial" w:hAnsiTheme="minorEastAsia"/>
          <w:sz w:val="30"/>
          <w:szCs w:val="30"/>
        </w:rPr>
        <w:t>安居型商品房、公共租赁住房、人才住房</w:t>
      </w:r>
      <w:r>
        <w:rPr>
          <w:rFonts w:hint="eastAsia" w:ascii="仿宋_GB2312" w:eastAsia="仿宋_GB2312" w:cs="Arial" w:hAnsiTheme="minorEastAsia"/>
          <w:kern w:val="0"/>
          <w:sz w:val="30"/>
          <w:szCs w:val="30"/>
        </w:rPr>
        <w:t>、创新型产业用房等城市公共利益项目且不增加其他经营性建筑面积的；</w:t>
      </w:r>
    </w:p>
    <w:p>
      <w:pPr>
        <w:spacing w:line="56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3、因产业转型升级需要，市政府明确同意项目提高容积率的；</w:t>
      </w:r>
    </w:p>
    <w:p>
      <w:pPr>
        <w:spacing w:line="56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 xml:space="preserve">4、因法定图则片区功能等发生重大变化导致更新单元开发条件变化的。 </w:t>
      </w:r>
    </w:p>
    <w:p>
      <w:pPr>
        <w:spacing w:line="56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上述情形1、2直接在原规划容积基础上增配，不再按照上述条文规定重新核算项目规划容积；</w:t>
      </w:r>
    </w:p>
    <w:p>
      <w:pPr>
        <w:spacing w:line="56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上述情形3、4可按照本规定重新确定项目规划容积，且须严格按照现行规定核定土地贡献率、政策性用房配建比例及配套设施建设责任；</w:t>
      </w:r>
    </w:p>
    <w:p>
      <w:pPr>
        <w:spacing w:line="560" w:lineRule="exact"/>
        <w:ind w:firstLine="600" w:firstLineChars="200"/>
        <w:rPr>
          <w:rFonts w:ascii="仿宋_GB2312" w:eastAsia="仿宋_GB2312" w:cs="Arial" w:hAnsiTheme="minorEastAsia"/>
          <w:kern w:val="0"/>
          <w:sz w:val="30"/>
          <w:szCs w:val="30"/>
        </w:rPr>
      </w:pPr>
      <w:r>
        <w:rPr>
          <w:rFonts w:hint="eastAsia" w:ascii="仿宋_GB2312" w:eastAsia="仿宋_GB2312" w:cs="Arial" w:hAnsiTheme="minorEastAsia"/>
          <w:kern w:val="0"/>
          <w:sz w:val="30"/>
          <w:szCs w:val="30"/>
        </w:rPr>
        <w:t xml:space="preserve">上述情形4涉及增加经营性建筑面积的规划容积调整，相应增加的建筑面积地价按评估地价标准计收。 </w:t>
      </w:r>
    </w:p>
    <w:p>
      <w:pPr>
        <w:pStyle w:val="7"/>
        <w:spacing w:before="0" w:beforeAutospacing="0" w:after="0" w:afterAutospacing="0"/>
        <w:ind w:firstLine="585"/>
        <w:jc w:val="both"/>
        <w:rPr>
          <w:rFonts w:ascii="仿宋_GB2312" w:eastAsia="仿宋_GB2312" w:cs="Arial" w:hAnsiTheme="minorEastAsia"/>
          <w:sz w:val="30"/>
          <w:szCs w:val="30"/>
        </w:rPr>
      </w:pPr>
      <w:r>
        <w:rPr>
          <w:rFonts w:hint="eastAsia" w:cs="Arial" w:asciiTheme="minorEastAsia" w:hAnsiTheme="minorEastAsia" w:eastAsiaTheme="minorEastAsia"/>
          <w:b/>
          <w:sz w:val="30"/>
          <w:szCs w:val="30"/>
        </w:rPr>
        <w:t>第十四条</w:t>
      </w:r>
      <w:r>
        <w:rPr>
          <w:rFonts w:hint="eastAsia" w:cs="Arial" w:asciiTheme="minorEastAsia" w:hAnsiTheme="minorEastAsia" w:eastAsiaTheme="minorEastAsia"/>
          <w:sz w:val="30"/>
          <w:szCs w:val="30"/>
        </w:rPr>
        <w:t xml:space="preserve">  </w:t>
      </w:r>
      <w:r>
        <w:rPr>
          <w:rFonts w:hint="eastAsia" w:ascii="仿宋_GB2312" w:eastAsia="仿宋_GB2312" w:cs="Arial" w:hAnsiTheme="minorEastAsia"/>
          <w:sz w:val="30"/>
          <w:szCs w:val="30"/>
        </w:rPr>
        <w:t>本规定发布之日前已通过市城市更新主管部门或区政府（新区管委会）审议但未公示的城市更新单元规划，可结合项目可实施性，按照本规定重新确定规划容积。</w:t>
      </w:r>
    </w:p>
    <w:p>
      <w:pPr>
        <w:spacing w:line="580" w:lineRule="exact"/>
        <w:ind w:firstLine="602" w:firstLineChars="200"/>
        <w:jc w:val="left"/>
        <w:rPr>
          <w:rFonts w:cs="Arial" w:asciiTheme="minorEastAsia" w:hAnsiTheme="minorEastAsia"/>
          <w:kern w:val="0"/>
          <w:sz w:val="30"/>
          <w:szCs w:val="30"/>
        </w:rPr>
      </w:pPr>
      <w:r>
        <w:rPr>
          <w:rFonts w:hint="eastAsia" w:cs="Arial" w:asciiTheme="minorEastAsia" w:hAnsiTheme="minorEastAsia"/>
          <w:b/>
          <w:sz w:val="30"/>
          <w:szCs w:val="30"/>
        </w:rPr>
        <w:t>第十五条</w:t>
      </w:r>
      <w:r>
        <w:rPr>
          <w:rFonts w:hint="eastAsia" w:cs="Arial" w:asciiTheme="minorEastAsia" w:hAnsiTheme="minorEastAsia"/>
          <w:sz w:val="30"/>
          <w:szCs w:val="30"/>
        </w:rPr>
        <w:t xml:space="preserve">  </w:t>
      </w:r>
      <w:r>
        <w:rPr>
          <w:rFonts w:hint="eastAsia" w:ascii="仿宋_GB2312" w:eastAsia="仿宋_GB2312" w:cs="Arial" w:hAnsiTheme="minorEastAsia"/>
          <w:kern w:val="0"/>
          <w:sz w:val="30"/>
          <w:szCs w:val="30"/>
        </w:rPr>
        <w:t>本规定自公布施行之日起，原《深圳市城市更新单元规划容积率审查技术指引（试行）》、《市规划国土委关于适用&lt;深圳市城市更新单元规划容积率审查技术指引（试行）&gt;第七条规定的通知》、《市规划国土委关于加强已批准规划城市更新项目容积率管理的通知》同时废止。</w:t>
      </w:r>
    </w:p>
    <w:p>
      <w:pPr>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BE"/>
    <w:rsid w:val="0000449A"/>
    <w:rsid w:val="000064F9"/>
    <w:rsid w:val="00033FEB"/>
    <w:rsid w:val="00034B04"/>
    <w:rsid w:val="000376EB"/>
    <w:rsid w:val="000405A1"/>
    <w:rsid w:val="00041CDA"/>
    <w:rsid w:val="00042F5E"/>
    <w:rsid w:val="00050B1A"/>
    <w:rsid w:val="00065C5E"/>
    <w:rsid w:val="000670F9"/>
    <w:rsid w:val="00074C5F"/>
    <w:rsid w:val="000766BE"/>
    <w:rsid w:val="00082582"/>
    <w:rsid w:val="000847BD"/>
    <w:rsid w:val="0008647A"/>
    <w:rsid w:val="00087753"/>
    <w:rsid w:val="00087C1B"/>
    <w:rsid w:val="00090317"/>
    <w:rsid w:val="00094864"/>
    <w:rsid w:val="0009568C"/>
    <w:rsid w:val="00096BE2"/>
    <w:rsid w:val="00097325"/>
    <w:rsid w:val="000A450B"/>
    <w:rsid w:val="000B3BF3"/>
    <w:rsid w:val="000B480E"/>
    <w:rsid w:val="000C6DCC"/>
    <w:rsid w:val="000D3852"/>
    <w:rsid w:val="000D392E"/>
    <w:rsid w:val="000D6275"/>
    <w:rsid w:val="000D63C9"/>
    <w:rsid w:val="000E20CD"/>
    <w:rsid w:val="000E2F75"/>
    <w:rsid w:val="000E5CDC"/>
    <w:rsid w:val="000E73DF"/>
    <w:rsid w:val="000F504D"/>
    <w:rsid w:val="00101076"/>
    <w:rsid w:val="00113514"/>
    <w:rsid w:val="00114074"/>
    <w:rsid w:val="00114296"/>
    <w:rsid w:val="00131B9E"/>
    <w:rsid w:val="00150D1F"/>
    <w:rsid w:val="00152575"/>
    <w:rsid w:val="00152664"/>
    <w:rsid w:val="00153A3A"/>
    <w:rsid w:val="00153D0F"/>
    <w:rsid w:val="001627C1"/>
    <w:rsid w:val="001670B4"/>
    <w:rsid w:val="00167B13"/>
    <w:rsid w:val="0017065A"/>
    <w:rsid w:val="00174139"/>
    <w:rsid w:val="00181BEB"/>
    <w:rsid w:val="00182B7D"/>
    <w:rsid w:val="001A16D7"/>
    <w:rsid w:val="001B22DB"/>
    <w:rsid w:val="001C13EC"/>
    <w:rsid w:val="001C4C11"/>
    <w:rsid w:val="001D051C"/>
    <w:rsid w:val="001D31EF"/>
    <w:rsid w:val="001E445C"/>
    <w:rsid w:val="001E5F8E"/>
    <w:rsid w:val="00201A09"/>
    <w:rsid w:val="00203535"/>
    <w:rsid w:val="002072EA"/>
    <w:rsid w:val="00210E3A"/>
    <w:rsid w:val="00211459"/>
    <w:rsid w:val="0023087B"/>
    <w:rsid w:val="00233A8C"/>
    <w:rsid w:val="00234BAA"/>
    <w:rsid w:val="00236C46"/>
    <w:rsid w:val="0023767B"/>
    <w:rsid w:val="00241826"/>
    <w:rsid w:val="00250D4D"/>
    <w:rsid w:val="00253CB5"/>
    <w:rsid w:val="00255313"/>
    <w:rsid w:val="0027200C"/>
    <w:rsid w:val="00285EF7"/>
    <w:rsid w:val="00290B24"/>
    <w:rsid w:val="002937D8"/>
    <w:rsid w:val="002A3626"/>
    <w:rsid w:val="002A4E3F"/>
    <w:rsid w:val="002B4B06"/>
    <w:rsid w:val="002B5A22"/>
    <w:rsid w:val="002C0978"/>
    <w:rsid w:val="002C7105"/>
    <w:rsid w:val="002C7993"/>
    <w:rsid w:val="002D5A76"/>
    <w:rsid w:val="002E6B74"/>
    <w:rsid w:val="002F3C90"/>
    <w:rsid w:val="002F4EBB"/>
    <w:rsid w:val="00303DEB"/>
    <w:rsid w:val="00312C48"/>
    <w:rsid w:val="00323A3C"/>
    <w:rsid w:val="00330E3D"/>
    <w:rsid w:val="003370D2"/>
    <w:rsid w:val="00350C90"/>
    <w:rsid w:val="003540C7"/>
    <w:rsid w:val="00354219"/>
    <w:rsid w:val="0035601E"/>
    <w:rsid w:val="003623FA"/>
    <w:rsid w:val="00363438"/>
    <w:rsid w:val="00364776"/>
    <w:rsid w:val="00365D29"/>
    <w:rsid w:val="00367E22"/>
    <w:rsid w:val="0037017C"/>
    <w:rsid w:val="003719AC"/>
    <w:rsid w:val="00372815"/>
    <w:rsid w:val="00375902"/>
    <w:rsid w:val="00381803"/>
    <w:rsid w:val="00381D27"/>
    <w:rsid w:val="003A12FB"/>
    <w:rsid w:val="003A1EF7"/>
    <w:rsid w:val="003B7B95"/>
    <w:rsid w:val="003E091E"/>
    <w:rsid w:val="003E2047"/>
    <w:rsid w:val="003E46E3"/>
    <w:rsid w:val="003E67E2"/>
    <w:rsid w:val="003F0191"/>
    <w:rsid w:val="003F2477"/>
    <w:rsid w:val="003F544B"/>
    <w:rsid w:val="00403A66"/>
    <w:rsid w:val="00413AD5"/>
    <w:rsid w:val="00415AB5"/>
    <w:rsid w:val="00423818"/>
    <w:rsid w:val="00424788"/>
    <w:rsid w:val="0043015E"/>
    <w:rsid w:val="004312A3"/>
    <w:rsid w:val="00431AA2"/>
    <w:rsid w:val="00432872"/>
    <w:rsid w:val="00434D79"/>
    <w:rsid w:val="00454864"/>
    <w:rsid w:val="0045695A"/>
    <w:rsid w:val="00460FD2"/>
    <w:rsid w:val="004711CA"/>
    <w:rsid w:val="004735B6"/>
    <w:rsid w:val="004761C4"/>
    <w:rsid w:val="00491CA6"/>
    <w:rsid w:val="004A7006"/>
    <w:rsid w:val="004B1159"/>
    <w:rsid w:val="004D107F"/>
    <w:rsid w:val="004D144D"/>
    <w:rsid w:val="004D6A37"/>
    <w:rsid w:val="004E284F"/>
    <w:rsid w:val="004F14F5"/>
    <w:rsid w:val="005029BA"/>
    <w:rsid w:val="00512716"/>
    <w:rsid w:val="00514150"/>
    <w:rsid w:val="005263CE"/>
    <w:rsid w:val="0053549C"/>
    <w:rsid w:val="0054030B"/>
    <w:rsid w:val="005404F0"/>
    <w:rsid w:val="00540C78"/>
    <w:rsid w:val="00554F2F"/>
    <w:rsid w:val="0056080C"/>
    <w:rsid w:val="00567342"/>
    <w:rsid w:val="00574CC1"/>
    <w:rsid w:val="00584B74"/>
    <w:rsid w:val="005851F0"/>
    <w:rsid w:val="00585BD4"/>
    <w:rsid w:val="00591E5B"/>
    <w:rsid w:val="005925FF"/>
    <w:rsid w:val="005A111B"/>
    <w:rsid w:val="005A1BE5"/>
    <w:rsid w:val="005A4125"/>
    <w:rsid w:val="005B049D"/>
    <w:rsid w:val="005C1993"/>
    <w:rsid w:val="005C23A2"/>
    <w:rsid w:val="005C23DB"/>
    <w:rsid w:val="005C6B80"/>
    <w:rsid w:val="005F46D5"/>
    <w:rsid w:val="005F72BE"/>
    <w:rsid w:val="006026EF"/>
    <w:rsid w:val="006047EA"/>
    <w:rsid w:val="00604C7F"/>
    <w:rsid w:val="00605E3D"/>
    <w:rsid w:val="00616F5B"/>
    <w:rsid w:val="0062047B"/>
    <w:rsid w:val="006315E8"/>
    <w:rsid w:val="00641397"/>
    <w:rsid w:val="00642B12"/>
    <w:rsid w:val="00650640"/>
    <w:rsid w:val="00662DA0"/>
    <w:rsid w:val="0066419A"/>
    <w:rsid w:val="00683BB9"/>
    <w:rsid w:val="00686D99"/>
    <w:rsid w:val="006A0AFF"/>
    <w:rsid w:val="006A57E7"/>
    <w:rsid w:val="006A639E"/>
    <w:rsid w:val="006B20B2"/>
    <w:rsid w:val="006B2C5E"/>
    <w:rsid w:val="006B6757"/>
    <w:rsid w:val="006D1E6D"/>
    <w:rsid w:val="006E1DC3"/>
    <w:rsid w:val="006E730A"/>
    <w:rsid w:val="006F065A"/>
    <w:rsid w:val="006F081C"/>
    <w:rsid w:val="006F2717"/>
    <w:rsid w:val="00705756"/>
    <w:rsid w:val="007069EB"/>
    <w:rsid w:val="00710CD2"/>
    <w:rsid w:val="00713C49"/>
    <w:rsid w:val="00714F0B"/>
    <w:rsid w:val="00716DDE"/>
    <w:rsid w:val="00717591"/>
    <w:rsid w:val="007220FF"/>
    <w:rsid w:val="007255FC"/>
    <w:rsid w:val="0072745F"/>
    <w:rsid w:val="00732B9A"/>
    <w:rsid w:val="00743A02"/>
    <w:rsid w:val="007441F4"/>
    <w:rsid w:val="00752A38"/>
    <w:rsid w:val="00752B1E"/>
    <w:rsid w:val="007672E0"/>
    <w:rsid w:val="0077335A"/>
    <w:rsid w:val="007805B7"/>
    <w:rsid w:val="00781B5C"/>
    <w:rsid w:val="00783CAF"/>
    <w:rsid w:val="00786CE7"/>
    <w:rsid w:val="00790AAE"/>
    <w:rsid w:val="00792D64"/>
    <w:rsid w:val="0079394F"/>
    <w:rsid w:val="00794B6C"/>
    <w:rsid w:val="00797845"/>
    <w:rsid w:val="007A2B2A"/>
    <w:rsid w:val="007A303C"/>
    <w:rsid w:val="007C38D7"/>
    <w:rsid w:val="007D2C5D"/>
    <w:rsid w:val="007F48BD"/>
    <w:rsid w:val="007F4C72"/>
    <w:rsid w:val="007F6C65"/>
    <w:rsid w:val="008019DE"/>
    <w:rsid w:val="00801C7F"/>
    <w:rsid w:val="008051DE"/>
    <w:rsid w:val="00805232"/>
    <w:rsid w:val="008103A9"/>
    <w:rsid w:val="00810EF4"/>
    <w:rsid w:val="00811AC5"/>
    <w:rsid w:val="00813782"/>
    <w:rsid w:val="008207CE"/>
    <w:rsid w:val="008303BF"/>
    <w:rsid w:val="00842AF2"/>
    <w:rsid w:val="008434CD"/>
    <w:rsid w:val="00846E36"/>
    <w:rsid w:val="00851CD5"/>
    <w:rsid w:val="008525D5"/>
    <w:rsid w:val="00853711"/>
    <w:rsid w:val="00853A9B"/>
    <w:rsid w:val="00874C32"/>
    <w:rsid w:val="00883141"/>
    <w:rsid w:val="008835DD"/>
    <w:rsid w:val="00886D9A"/>
    <w:rsid w:val="008A68C9"/>
    <w:rsid w:val="008B7D45"/>
    <w:rsid w:val="008C1BF6"/>
    <w:rsid w:val="008C22E2"/>
    <w:rsid w:val="008C79F2"/>
    <w:rsid w:val="008E3BBD"/>
    <w:rsid w:val="008E4D8E"/>
    <w:rsid w:val="008E667F"/>
    <w:rsid w:val="008F5297"/>
    <w:rsid w:val="009068F0"/>
    <w:rsid w:val="00906B7F"/>
    <w:rsid w:val="00912445"/>
    <w:rsid w:val="00914B5B"/>
    <w:rsid w:val="00917F52"/>
    <w:rsid w:val="00921CED"/>
    <w:rsid w:val="00926560"/>
    <w:rsid w:val="009314E3"/>
    <w:rsid w:val="009324DC"/>
    <w:rsid w:val="0094214E"/>
    <w:rsid w:val="00943825"/>
    <w:rsid w:val="0095777C"/>
    <w:rsid w:val="00957B7E"/>
    <w:rsid w:val="00957EFA"/>
    <w:rsid w:val="00963117"/>
    <w:rsid w:val="00975ED6"/>
    <w:rsid w:val="00981ACF"/>
    <w:rsid w:val="00982033"/>
    <w:rsid w:val="00982BD4"/>
    <w:rsid w:val="00982C90"/>
    <w:rsid w:val="00987576"/>
    <w:rsid w:val="009A6F0E"/>
    <w:rsid w:val="009B3938"/>
    <w:rsid w:val="009C6F8A"/>
    <w:rsid w:val="009D4BF5"/>
    <w:rsid w:val="009E1179"/>
    <w:rsid w:val="009E1F69"/>
    <w:rsid w:val="009E3AF4"/>
    <w:rsid w:val="009E7152"/>
    <w:rsid w:val="009F0055"/>
    <w:rsid w:val="009F6D73"/>
    <w:rsid w:val="00A05423"/>
    <w:rsid w:val="00A06522"/>
    <w:rsid w:val="00A07406"/>
    <w:rsid w:val="00A1110C"/>
    <w:rsid w:val="00A154CD"/>
    <w:rsid w:val="00A2434A"/>
    <w:rsid w:val="00A24D34"/>
    <w:rsid w:val="00A26467"/>
    <w:rsid w:val="00A26F7D"/>
    <w:rsid w:val="00A50F1C"/>
    <w:rsid w:val="00A524A6"/>
    <w:rsid w:val="00A52EF5"/>
    <w:rsid w:val="00A5478F"/>
    <w:rsid w:val="00A729AB"/>
    <w:rsid w:val="00A813CB"/>
    <w:rsid w:val="00A8222D"/>
    <w:rsid w:val="00A90822"/>
    <w:rsid w:val="00A96B80"/>
    <w:rsid w:val="00AA0892"/>
    <w:rsid w:val="00AA379A"/>
    <w:rsid w:val="00AA4067"/>
    <w:rsid w:val="00AC38F0"/>
    <w:rsid w:val="00AC56E8"/>
    <w:rsid w:val="00AD02F2"/>
    <w:rsid w:val="00AD2BFD"/>
    <w:rsid w:val="00AF2BDA"/>
    <w:rsid w:val="00AF3723"/>
    <w:rsid w:val="00AF491B"/>
    <w:rsid w:val="00B03C57"/>
    <w:rsid w:val="00B268A2"/>
    <w:rsid w:val="00B4052C"/>
    <w:rsid w:val="00B56B71"/>
    <w:rsid w:val="00B609ED"/>
    <w:rsid w:val="00B60AC8"/>
    <w:rsid w:val="00B66B78"/>
    <w:rsid w:val="00B7186E"/>
    <w:rsid w:val="00B8118D"/>
    <w:rsid w:val="00B84AD2"/>
    <w:rsid w:val="00B94BF2"/>
    <w:rsid w:val="00BA5024"/>
    <w:rsid w:val="00BA5DCC"/>
    <w:rsid w:val="00BB0E32"/>
    <w:rsid w:val="00BB1AF6"/>
    <w:rsid w:val="00BB301C"/>
    <w:rsid w:val="00BB42B0"/>
    <w:rsid w:val="00BD073F"/>
    <w:rsid w:val="00BE0783"/>
    <w:rsid w:val="00BE3928"/>
    <w:rsid w:val="00BE4086"/>
    <w:rsid w:val="00BE751E"/>
    <w:rsid w:val="00BF72BF"/>
    <w:rsid w:val="00C00AC3"/>
    <w:rsid w:val="00C0302B"/>
    <w:rsid w:val="00C10798"/>
    <w:rsid w:val="00C114B7"/>
    <w:rsid w:val="00C13FA3"/>
    <w:rsid w:val="00C22BF1"/>
    <w:rsid w:val="00C26847"/>
    <w:rsid w:val="00C31A43"/>
    <w:rsid w:val="00C326A6"/>
    <w:rsid w:val="00C35F41"/>
    <w:rsid w:val="00C4050B"/>
    <w:rsid w:val="00C45B0A"/>
    <w:rsid w:val="00C46797"/>
    <w:rsid w:val="00C62062"/>
    <w:rsid w:val="00C62D95"/>
    <w:rsid w:val="00C9230F"/>
    <w:rsid w:val="00C935BF"/>
    <w:rsid w:val="00C93AEC"/>
    <w:rsid w:val="00CC4B27"/>
    <w:rsid w:val="00CE744F"/>
    <w:rsid w:val="00CF42D6"/>
    <w:rsid w:val="00CF4CE7"/>
    <w:rsid w:val="00D00BBF"/>
    <w:rsid w:val="00D27ABB"/>
    <w:rsid w:val="00D31F27"/>
    <w:rsid w:val="00D32E04"/>
    <w:rsid w:val="00D35F01"/>
    <w:rsid w:val="00D36818"/>
    <w:rsid w:val="00D369DD"/>
    <w:rsid w:val="00D3720F"/>
    <w:rsid w:val="00D40F39"/>
    <w:rsid w:val="00D45244"/>
    <w:rsid w:val="00D507A9"/>
    <w:rsid w:val="00D620E2"/>
    <w:rsid w:val="00D63D35"/>
    <w:rsid w:val="00D63FAA"/>
    <w:rsid w:val="00D64C04"/>
    <w:rsid w:val="00D65E9A"/>
    <w:rsid w:val="00D734EF"/>
    <w:rsid w:val="00D82A2C"/>
    <w:rsid w:val="00D836FC"/>
    <w:rsid w:val="00D90522"/>
    <w:rsid w:val="00D91271"/>
    <w:rsid w:val="00D93B49"/>
    <w:rsid w:val="00D94355"/>
    <w:rsid w:val="00D96D24"/>
    <w:rsid w:val="00D96DD0"/>
    <w:rsid w:val="00DA23A1"/>
    <w:rsid w:val="00DA440D"/>
    <w:rsid w:val="00DA52BE"/>
    <w:rsid w:val="00DA67FD"/>
    <w:rsid w:val="00DB6D30"/>
    <w:rsid w:val="00DB78A6"/>
    <w:rsid w:val="00DC23A8"/>
    <w:rsid w:val="00DC6556"/>
    <w:rsid w:val="00DC746F"/>
    <w:rsid w:val="00DD53C2"/>
    <w:rsid w:val="00DD7064"/>
    <w:rsid w:val="00DD7947"/>
    <w:rsid w:val="00DE6340"/>
    <w:rsid w:val="00DF19A9"/>
    <w:rsid w:val="00DF1C27"/>
    <w:rsid w:val="00DF5056"/>
    <w:rsid w:val="00DF5787"/>
    <w:rsid w:val="00DF5B45"/>
    <w:rsid w:val="00DF75DE"/>
    <w:rsid w:val="00DF76EF"/>
    <w:rsid w:val="00E01663"/>
    <w:rsid w:val="00E020DB"/>
    <w:rsid w:val="00E02B84"/>
    <w:rsid w:val="00E11C63"/>
    <w:rsid w:val="00E120F4"/>
    <w:rsid w:val="00E170AC"/>
    <w:rsid w:val="00E25FFF"/>
    <w:rsid w:val="00E36A9A"/>
    <w:rsid w:val="00E37151"/>
    <w:rsid w:val="00E45A51"/>
    <w:rsid w:val="00E56A27"/>
    <w:rsid w:val="00E76B99"/>
    <w:rsid w:val="00E814B2"/>
    <w:rsid w:val="00E83EAF"/>
    <w:rsid w:val="00E92916"/>
    <w:rsid w:val="00EA6907"/>
    <w:rsid w:val="00EB5435"/>
    <w:rsid w:val="00EC5E37"/>
    <w:rsid w:val="00ED33FD"/>
    <w:rsid w:val="00EF554D"/>
    <w:rsid w:val="00EF7F8E"/>
    <w:rsid w:val="00F0540E"/>
    <w:rsid w:val="00F13BD7"/>
    <w:rsid w:val="00F22466"/>
    <w:rsid w:val="00F24104"/>
    <w:rsid w:val="00F26851"/>
    <w:rsid w:val="00F37AE8"/>
    <w:rsid w:val="00F40070"/>
    <w:rsid w:val="00F4651A"/>
    <w:rsid w:val="00F52208"/>
    <w:rsid w:val="00F54482"/>
    <w:rsid w:val="00F57BAE"/>
    <w:rsid w:val="00F65568"/>
    <w:rsid w:val="00F8721B"/>
    <w:rsid w:val="00FA1B70"/>
    <w:rsid w:val="00FB0429"/>
    <w:rsid w:val="00FB0E40"/>
    <w:rsid w:val="00FB5E59"/>
    <w:rsid w:val="00FC6583"/>
    <w:rsid w:val="00FD400C"/>
    <w:rsid w:val="00FE3EE5"/>
    <w:rsid w:val="00FE475D"/>
    <w:rsid w:val="00FE7E81"/>
    <w:rsid w:val="24CC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uiPriority w:val="99"/>
    <w:rPr>
      <w:b/>
      <w:bCs/>
    </w:rPr>
  </w:style>
  <w:style w:type="paragraph" w:styleId="3">
    <w:name w:val="annotation text"/>
    <w:basedOn w:val="1"/>
    <w:link w:val="15"/>
    <w:semiHidden/>
    <w:unhideWhenUsed/>
    <w:qFormat/>
    <w:uiPriority w:val="99"/>
    <w:pPr>
      <w:jc w:val="left"/>
    </w:p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semiHidden/>
    <w:unhideWhenUsed/>
    <w:uiPriority w:val="99"/>
    <w:rPr>
      <w:sz w:val="21"/>
      <w:szCs w:val="21"/>
    </w:rPr>
  </w:style>
  <w:style w:type="character" w:customStyle="1" w:styleId="11">
    <w:name w:val="页眉 Char"/>
    <w:basedOn w:val="8"/>
    <w:link w:val="6"/>
    <w:uiPriority w:val="99"/>
    <w:rPr>
      <w:sz w:val="18"/>
      <w:szCs w:val="18"/>
    </w:rPr>
  </w:style>
  <w:style w:type="character" w:customStyle="1" w:styleId="12">
    <w:name w:val="页脚 Char"/>
    <w:basedOn w:val="8"/>
    <w:link w:val="5"/>
    <w:uiPriority w:val="99"/>
    <w:rPr>
      <w:sz w:val="18"/>
      <w:szCs w:val="18"/>
    </w:rPr>
  </w:style>
  <w:style w:type="character" w:customStyle="1" w:styleId="13">
    <w:name w:val="批注框文本 Char"/>
    <w:basedOn w:val="8"/>
    <w:link w:val="4"/>
    <w:semiHidden/>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8"/>
    <w:link w:val="3"/>
    <w:semiHidden/>
    <w:qFormat/>
    <w:uiPriority w:val="99"/>
  </w:style>
  <w:style w:type="character" w:customStyle="1" w:styleId="16">
    <w:name w:val="批注主题 Char"/>
    <w:basedOn w:val="15"/>
    <w:link w:val="2"/>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8F991-F313-4CDA-9FAE-23B67F6AB935}">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594</Words>
  <Characters>3390</Characters>
  <Lines>28</Lines>
  <Paragraphs>7</Paragraphs>
  <TotalTime>5157</TotalTime>
  <ScaleCrop>false</ScaleCrop>
  <LinksUpToDate>false</LinksUpToDate>
  <CharactersWithSpaces>3977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2018-11-21T10:34:00Z</dcterms:created>
  <dc:creator>张承露</dc:creator>
  <cp:lastModifiedBy>李筱延</cp:lastModifiedBy>
  <cp:lastPrinted>2019-01-21T01:36:00Z</cp:lastPrinted>
  <dcterms:modified xsi:type="dcterms:W3CDTF">2019-02-19T02:47:26Z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