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608" w:rsidRPr="00744608" w:rsidRDefault="00744608" w:rsidP="00744608">
      <w:pPr>
        <w:widowControl/>
        <w:shd w:val="clear" w:color="auto" w:fill="FFFFFF"/>
        <w:spacing w:line="600" w:lineRule="atLeast"/>
        <w:jc w:val="center"/>
        <w:outlineLvl w:val="3"/>
        <w:rPr>
          <w:rFonts w:ascii="Arial" w:eastAsia="宋体" w:hAnsi="Arial" w:cs="Arial"/>
          <w:b/>
          <w:bCs/>
          <w:color w:val="333333"/>
          <w:kern w:val="0"/>
          <w:sz w:val="44"/>
          <w:szCs w:val="36"/>
        </w:rPr>
      </w:pPr>
      <w:r w:rsidRPr="00744608">
        <w:rPr>
          <w:rFonts w:ascii="Arial" w:eastAsia="宋体" w:hAnsi="Arial" w:cs="Arial"/>
          <w:b/>
          <w:bCs/>
          <w:color w:val="333333"/>
          <w:kern w:val="0"/>
          <w:sz w:val="44"/>
          <w:szCs w:val="36"/>
        </w:rPr>
        <w:t>深圳市宝安区、龙岗区、光明新区及坪山新区拆除重建类城市更新单元旧屋村范围认定办法（试行）</w:t>
      </w:r>
    </w:p>
    <w:p w:rsidR="00744608" w:rsidRPr="00744608" w:rsidRDefault="00744608" w:rsidP="00744608">
      <w:pPr>
        <w:widowControl/>
        <w:shd w:val="clear" w:color="auto" w:fill="FFFFFF"/>
        <w:spacing w:line="360" w:lineRule="atLeast"/>
        <w:jc w:val="center"/>
        <w:rPr>
          <w:rFonts w:ascii="Arial" w:eastAsia="微软雅黑" w:hAnsi="Arial" w:cs="Arial" w:hint="eastAsia"/>
          <w:color w:val="444444"/>
          <w:kern w:val="0"/>
          <w:szCs w:val="18"/>
        </w:rPr>
      </w:pPr>
      <w:r w:rsidRPr="00744608">
        <w:rPr>
          <w:rFonts w:ascii="Arial" w:eastAsia="微软雅黑" w:hAnsi="Arial" w:cs="Arial"/>
          <w:color w:val="444444"/>
          <w:kern w:val="0"/>
          <w:szCs w:val="18"/>
        </w:rPr>
        <w:t>关于印发《深圳市宝安区、龙岗区、光明新区及坪山新区拆除重建类城市更新单元旧屋村范围认定办法（试行）》的通知</w:t>
      </w:r>
    </w:p>
    <w:p w:rsidR="00744608" w:rsidRPr="00744608" w:rsidRDefault="00744608" w:rsidP="00744608">
      <w:pPr>
        <w:widowControl/>
        <w:shd w:val="clear" w:color="auto" w:fill="FFFFFF"/>
        <w:spacing w:line="360" w:lineRule="atLeast"/>
        <w:jc w:val="center"/>
        <w:rPr>
          <w:rFonts w:ascii="Arial" w:eastAsia="微软雅黑" w:hAnsi="Arial" w:cs="Arial"/>
          <w:color w:val="444444"/>
          <w:kern w:val="0"/>
          <w:szCs w:val="18"/>
        </w:rPr>
      </w:pPr>
      <w:r w:rsidRPr="00744608">
        <w:rPr>
          <w:rFonts w:ascii="Arial" w:eastAsia="微软雅黑" w:hAnsi="Arial" w:cs="Arial"/>
          <w:color w:val="444444"/>
          <w:kern w:val="0"/>
          <w:szCs w:val="18"/>
        </w:rPr>
        <w:t xml:space="preserve">　　（深</w:t>
      </w:r>
      <w:proofErr w:type="gramStart"/>
      <w:r w:rsidRPr="00744608">
        <w:rPr>
          <w:rFonts w:ascii="Arial" w:eastAsia="微软雅黑" w:hAnsi="Arial" w:cs="Arial"/>
          <w:color w:val="444444"/>
          <w:kern w:val="0"/>
          <w:szCs w:val="18"/>
        </w:rPr>
        <w:t>规</w:t>
      </w:r>
      <w:proofErr w:type="gramEnd"/>
      <w:r w:rsidRPr="00744608">
        <w:rPr>
          <w:rFonts w:ascii="Arial" w:eastAsia="微软雅黑" w:hAnsi="Arial" w:cs="Arial"/>
          <w:color w:val="444444"/>
          <w:kern w:val="0"/>
          <w:szCs w:val="18"/>
        </w:rPr>
        <w:t>土【</w:t>
      </w:r>
      <w:r w:rsidRPr="00744608">
        <w:rPr>
          <w:rFonts w:ascii="Arial" w:eastAsia="微软雅黑" w:hAnsi="Arial" w:cs="Arial"/>
          <w:color w:val="444444"/>
          <w:kern w:val="0"/>
          <w:szCs w:val="18"/>
        </w:rPr>
        <w:t>2010</w:t>
      </w:r>
      <w:r w:rsidRPr="00744608">
        <w:rPr>
          <w:rFonts w:ascii="Arial" w:eastAsia="微软雅黑" w:hAnsi="Arial" w:cs="Arial"/>
          <w:color w:val="444444"/>
          <w:kern w:val="0"/>
          <w:szCs w:val="18"/>
        </w:rPr>
        <w:t>】</w:t>
      </w:r>
      <w:r w:rsidRPr="00744608">
        <w:rPr>
          <w:rFonts w:ascii="Arial" w:eastAsia="微软雅黑" w:hAnsi="Arial" w:cs="Arial"/>
          <w:color w:val="444444"/>
          <w:kern w:val="0"/>
          <w:szCs w:val="18"/>
        </w:rPr>
        <w:t>439</w:t>
      </w:r>
      <w:r w:rsidRPr="00744608">
        <w:rPr>
          <w:rFonts w:ascii="Arial" w:eastAsia="微软雅黑" w:hAnsi="Arial" w:cs="Arial"/>
          <w:color w:val="444444"/>
          <w:kern w:val="0"/>
          <w:szCs w:val="18"/>
        </w:rPr>
        <w:t>号）</w:t>
      </w:r>
      <w:bookmarkStart w:id="0" w:name="_GoBack"/>
      <w:bookmarkEnd w:id="0"/>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各处、各直属单位、各管理局、各事业单位：</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为规范拆除重建类城市更新单元旧屋村范围认定标准和程序，根据《深圳市人民政府关于推进宝安龙岗两区城中村（旧村）改造工作的若干意见》（深府</w:t>
      </w:r>
      <w:r w:rsidRPr="00744608">
        <w:rPr>
          <w:rFonts w:ascii="Arial" w:eastAsia="微软雅黑" w:hAnsi="Arial" w:cs="Arial"/>
          <w:color w:val="444444"/>
          <w:kern w:val="0"/>
          <w:szCs w:val="18"/>
        </w:rPr>
        <w:t>[2006]257</w:t>
      </w:r>
      <w:r w:rsidRPr="00744608">
        <w:rPr>
          <w:rFonts w:ascii="Arial" w:eastAsia="微软雅黑" w:hAnsi="Arial" w:cs="Arial"/>
          <w:color w:val="444444"/>
          <w:kern w:val="0"/>
          <w:szCs w:val="18"/>
        </w:rPr>
        <w:t>号）和《深圳市城市更新办法》及有关政策规定，我委制定了《深圳市宝安区、龙岗区、光明新区及坪山新区拆除重建类城市更新单元旧屋村范围认定办法（试行）》，现予以发布试行，请遵照执行。</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特此通知。</w:t>
      </w:r>
    </w:p>
    <w:p w:rsidR="00744608" w:rsidRPr="00744608" w:rsidRDefault="00744608" w:rsidP="00744608">
      <w:pPr>
        <w:widowControl/>
        <w:shd w:val="clear" w:color="auto" w:fill="FFFFFF"/>
        <w:spacing w:line="360" w:lineRule="atLeast"/>
        <w:jc w:val="right"/>
        <w:rPr>
          <w:rFonts w:ascii="Arial" w:eastAsia="微软雅黑" w:hAnsi="Arial" w:cs="Arial"/>
          <w:color w:val="444444"/>
          <w:kern w:val="0"/>
          <w:szCs w:val="18"/>
        </w:rPr>
      </w:pPr>
      <w:r w:rsidRPr="00744608">
        <w:rPr>
          <w:rFonts w:ascii="Arial" w:eastAsia="微软雅黑" w:hAnsi="Arial" w:cs="Arial"/>
          <w:color w:val="444444"/>
          <w:kern w:val="0"/>
          <w:szCs w:val="18"/>
        </w:rPr>
        <w:t xml:space="preserve">　　深圳市规划和国土资源委员会</w:t>
      </w:r>
    </w:p>
    <w:p w:rsidR="00744608" w:rsidRPr="00744608" w:rsidRDefault="00744608" w:rsidP="00744608">
      <w:pPr>
        <w:widowControl/>
        <w:shd w:val="clear" w:color="auto" w:fill="FFFFFF"/>
        <w:spacing w:line="360" w:lineRule="atLeast"/>
        <w:jc w:val="righ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二〇一〇年七月八日</w:t>
      </w:r>
    </w:p>
    <w:p w:rsidR="00744608" w:rsidRPr="00744608" w:rsidRDefault="00744608" w:rsidP="00744608">
      <w:pPr>
        <w:widowControl/>
        <w:shd w:val="clear" w:color="auto" w:fill="FFFFFF"/>
        <w:spacing w:line="360" w:lineRule="atLeast"/>
        <w:jc w:val="center"/>
        <w:rPr>
          <w:rFonts w:ascii="Arial" w:eastAsia="微软雅黑" w:hAnsi="Arial" w:cs="Arial"/>
          <w:color w:val="444444"/>
          <w:kern w:val="0"/>
          <w:szCs w:val="18"/>
        </w:rPr>
      </w:pP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 </w:t>
      </w:r>
    </w:p>
    <w:p w:rsidR="00744608" w:rsidRPr="00744608" w:rsidRDefault="00744608" w:rsidP="00744608">
      <w:pPr>
        <w:widowControl/>
        <w:shd w:val="clear" w:color="auto" w:fill="FFFFFF"/>
        <w:spacing w:line="360" w:lineRule="atLeast"/>
        <w:jc w:val="center"/>
        <w:rPr>
          <w:rFonts w:ascii="Arial" w:eastAsia="微软雅黑" w:hAnsi="Arial" w:cs="Arial"/>
          <w:color w:val="444444"/>
          <w:kern w:val="0"/>
          <w:szCs w:val="18"/>
        </w:rPr>
      </w:pPr>
      <w:r w:rsidRPr="00744608">
        <w:rPr>
          <w:rFonts w:ascii="Arial" w:eastAsia="微软雅黑" w:hAnsi="Arial" w:cs="Arial"/>
          <w:color w:val="444444"/>
          <w:kern w:val="0"/>
          <w:szCs w:val="18"/>
        </w:rPr>
        <w:t>深圳市宝安区、龙岗区、光明新区及坪山新区拆除重建类城市更新单元旧屋村范围认定办法（试行）</w:t>
      </w:r>
    </w:p>
    <w:p w:rsidR="00744608" w:rsidRPr="00744608" w:rsidRDefault="00744608" w:rsidP="00744608">
      <w:pPr>
        <w:widowControl/>
        <w:shd w:val="clear" w:color="auto" w:fill="FFFFFF"/>
        <w:spacing w:line="360" w:lineRule="atLeast"/>
        <w:jc w:val="center"/>
        <w:rPr>
          <w:rFonts w:ascii="Arial" w:eastAsia="微软雅黑" w:hAnsi="Arial" w:cs="Arial"/>
          <w:color w:val="444444"/>
          <w:kern w:val="0"/>
          <w:szCs w:val="18"/>
        </w:rPr>
      </w:pPr>
      <w:r w:rsidRPr="00744608">
        <w:rPr>
          <w:rFonts w:ascii="Arial" w:eastAsia="微软雅黑" w:hAnsi="Arial" w:cs="Arial"/>
          <w:color w:val="444444"/>
          <w:kern w:val="0"/>
          <w:szCs w:val="18"/>
        </w:rPr>
        <w:t> </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第一条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为加快推进我市城市更新工作，进一步规范宝安区、龙岗区、光明新区及坪山新区旧屋村范围的认定标准和程序，根据《深圳市人民政府关于推进宝安龙岗两区城中村（旧村）改造工作的若干意见》（深府</w:t>
      </w:r>
      <w:r w:rsidRPr="00744608">
        <w:rPr>
          <w:rFonts w:ascii="Arial" w:eastAsia="微软雅黑" w:hAnsi="Arial" w:cs="Arial"/>
          <w:color w:val="444444"/>
          <w:kern w:val="0"/>
          <w:szCs w:val="18"/>
        </w:rPr>
        <w:t>[2006]257</w:t>
      </w:r>
      <w:r w:rsidRPr="00744608">
        <w:rPr>
          <w:rFonts w:ascii="Arial" w:eastAsia="微软雅黑" w:hAnsi="Arial" w:cs="Arial"/>
          <w:color w:val="444444"/>
          <w:kern w:val="0"/>
          <w:szCs w:val="18"/>
        </w:rPr>
        <w:t>号）和《深圳市城市更新办法》及市政府相关规定，制定本办法。</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lastRenderedPageBreak/>
        <w:t xml:space="preserve">　　第二条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本办法所称旧屋村，是指市政府《关于发布〈深圳市宝安、龙岗区规划、国土管理暂行办法〉的通知》（深府</w:t>
      </w:r>
      <w:r w:rsidRPr="00744608">
        <w:rPr>
          <w:rFonts w:ascii="Arial" w:eastAsia="微软雅黑" w:hAnsi="Arial" w:cs="Arial"/>
          <w:color w:val="444444"/>
          <w:kern w:val="0"/>
          <w:szCs w:val="18"/>
        </w:rPr>
        <w:t>[1993]283</w:t>
      </w:r>
      <w:r w:rsidRPr="00744608">
        <w:rPr>
          <w:rFonts w:ascii="Arial" w:eastAsia="微软雅黑" w:hAnsi="Arial" w:cs="Arial"/>
          <w:color w:val="444444"/>
          <w:kern w:val="0"/>
          <w:szCs w:val="18"/>
        </w:rPr>
        <w:t>号，以下简称《通知》）实施前已经形成且现状仍为原农村旧（祖）屋的集中居住区域。</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为旧屋村生活服务的礼堂、祠堂、农贸市场、公厕等公共服务设施在《通知》实施前已经建成的，纳入旧屋村范围。</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按照《深圳经济特区处理历史遗留违法私房若干规定》等规定已办理房产证的私房在《通知》实施前已经建成的，可纳入旧屋村范围。</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第三条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具有下列情形之一的土地、建（构）筑物、配套设施不得纳入旧屋村范围：</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（一）厂房及其它生产经营性用房；</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（二）《通知》实施后建设的私房；</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（三）《通知》实施后建设的各类公共服务设施；</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（四）除本办法第二条第三款规定的情形外的已出让、拟出让或已纳入国有土地储备的国有土地及其地上建（构）筑物。</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第四条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旧屋村范围的认定按照以下程序进行：</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（一）计划申报单位在包含旧屋村的更新单元列入全市城市更新年度计划后，向市规划国土部门派出机构提出旧屋村范围认定的申请，申请时应提交以下材料：</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1.</w:t>
      </w:r>
      <w:r w:rsidRPr="00744608">
        <w:rPr>
          <w:rFonts w:ascii="Arial" w:eastAsia="微软雅黑" w:hAnsi="Arial" w:cs="Arial"/>
          <w:color w:val="444444"/>
          <w:kern w:val="0"/>
          <w:szCs w:val="18"/>
        </w:rPr>
        <w:t>原农村集体经济组织的继受单位（股份合作公司）的书面申请书。申请书应说明旧屋村的占地面积、建成时间、使用情况、居住人口、相关私房的产权登记情况、有无《通知》实施后建设的私房等有关情况。</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2.</w:t>
      </w:r>
      <w:r w:rsidRPr="00744608">
        <w:rPr>
          <w:rFonts w:ascii="Arial" w:eastAsia="微软雅黑" w:hAnsi="Arial" w:cs="Arial"/>
          <w:color w:val="444444"/>
          <w:kern w:val="0"/>
          <w:szCs w:val="18"/>
        </w:rPr>
        <w:t>按规定制作的旧屋村范围报审图。</w:t>
      </w:r>
      <w:proofErr w:type="gramStart"/>
      <w:r w:rsidRPr="00744608">
        <w:rPr>
          <w:rFonts w:ascii="Arial" w:eastAsia="微软雅黑" w:hAnsi="Arial" w:cs="Arial"/>
          <w:color w:val="444444"/>
          <w:kern w:val="0"/>
          <w:szCs w:val="18"/>
        </w:rPr>
        <w:t>报审图</w:t>
      </w:r>
      <w:proofErr w:type="gramEnd"/>
      <w:r w:rsidRPr="00744608">
        <w:rPr>
          <w:rFonts w:ascii="Arial" w:eastAsia="微软雅黑" w:hAnsi="Arial" w:cs="Arial"/>
          <w:color w:val="444444"/>
          <w:kern w:val="0"/>
          <w:szCs w:val="18"/>
        </w:rPr>
        <w:t>应在现状实测地形图上制作，标注旧屋村的区位、范围、面积、坐标并附相关电子文件。</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lastRenderedPageBreak/>
        <w:t xml:space="preserve">　　具体的旧屋村范围应以市规划国土部门委托的具有测绘资质的单位提供的实测地形图或航空影像图等测绘成果为依据提出。《通知》实施前有上述测绘成果的，以最后的测绘成果为依据；《通知》实施前没有上述测绘成果的，可参照《通知》实施后最早的测绘成果提出范围。</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3.</w:t>
      </w:r>
      <w:r w:rsidRPr="00744608">
        <w:rPr>
          <w:rFonts w:ascii="Arial" w:eastAsia="微软雅黑" w:hAnsi="Arial" w:cs="Arial"/>
          <w:color w:val="444444"/>
          <w:kern w:val="0"/>
          <w:szCs w:val="18"/>
        </w:rPr>
        <w:t>街道办对旧屋村范围</w:t>
      </w:r>
      <w:proofErr w:type="gramStart"/>
      <w:r w:rsidRPr="00744608">
        <w:rPr>
          <w:rFonts w:ascii="Arial" w:eastAsia="微软雅黑" w:hAnsi="Arial" w:cs="Arial"/>
          <w:color w:val="444444"/>
          <w:kern w:val="0"/>
          <w:szCs w:val="18"/>
        </w:rPr>
        <w:t>报审图</w:t>
      </w:r>
      <w:proofErr w:type="gramEnd"/>
      <w:r w:rsidRPr="00744608">
        <w:rPr>
          <w:rFonts w:ascii="Arial" w:eastAsia="微软雅黑" w:hAnsi="Arial" w:cs="Arial"/>
          <w:color w:val="444444"/>
          <w:kern w:val="0"/>
          <w:szCs w:val="18"/>
        </w:rPr>
        <w:t>的书面意见。其中，按照《深圳经济特区处理历史遗留违法私房若干规定》等规定已办理房产证的私房须纳入旧屋村范围的，房产证上已经注明竣工日期的，以房产证为准，房产证上未注明竣工日期的，街道办应就该私房是否在《通知》实施前已建成出具书面认定意见。</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 xml:space="preserve">4. </w:t>
      </w:r>
      <w:r w:rsidRPr="00744608">
        <w:rPr>
          <w:rFonts w:ascii="Arial" w:eastAsia="微软雅黑" w:hAnsi="Arial" w:cs="Arial"/>
          <w:color w:val="444444"/>
          <w:kern w:val="0"/>
          <w:szCs w:val="18"/>
        </w:rPr>
        <w:t>市规划国土部门派出机构要求提交的其他材料。</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（二）市规划国土部门派出机构对旧屋村范围内的规划情况（包括紫线规划情况）、</w:t>
      </w:r>
      <w:proofErr w:type="gramStart"/>
      <w:r w:rsidRPr="00744608">
        <w:rPr>
          <w:rFonts w:ascii="Arial" w:eastAsia="微软雅黑" w:hAnsi="Arial" w:cs="Arial"/>
          <w:color w:val="444444"/>
          <w:kern w:val="0"/>
          <w:szCs w:val="18"/>
        </w:rPr>
        <w:t>征转地</w:t>
      </w:r>
      <w:proofErr w:type="gramEnd"/>
      <w:r w:rsidRPr="00744608">
        <w:rPr>
          <w:rFonts w:ascii="Arial" w:eastAsia="微软雅黑" w:hAnsi="Arial" w:cs="Arial"/>
          <w:color w:val="444444"/>
          <w:kern w:val="0"/>
          <w:szCs w:val="18"/>
        </w:rPr>
        <w:t>情况、核发用地批复情况、土地使用权出让与产权登记情况及相关测绘成果是否符合要求进行核查，对旧屋村范围进行初步认定，征求区城市更新部门及文物保护部门的书面意见并组织公示。公示地点应醒目且不少于两处，其中一处为旧屋村现场，其他公示地点可包括街道办、社区居委会等，公示时间不少于七日。</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（三）市规划国土部门派出机构对区城市更新部门、文物保护部门的意见及公示期间收集的意见进行处理，对旧屋村范围进行认定并核发旧屋村范围图。</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第五条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旧屋村范围图应在现状实测地形图上制作并标明以下内容：名称（</w:t>
      </w:r>
      <w:r w:rsidRPr="00744608">
        <w:rPr>
          <w:rFonts w:ascii="Arial" w:eastAsia="微软雅黑" w:hAnsi="Arial" w:cs="Arial"/>
          <w:color w:val="444444"/>
          <w:kern w:val="0"/>
          <w:szCs w:val="18"/>
        </w:rPr>
        <w:t>XX</w:t>
      </w:r>
      <w:r w:rsidRPr="00744608">
        <w:rPr>
          <w:rFonts w:ascii="Arial" w:eastAsia="微软雅黑" w:hAnsi="Arial" w:cs="Arial"/>
          <w:color w:val="444444"/>
          <w:kern w:val="0"/>
          <w:szCs w:val="18"/>
        </w:rPr>
        <w:t>旧屋村范围图）、编号、旧屋村范围面积、范围坐标、核发日期、核发机关等。</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旧屋村范围内有文物保护单位、规划城市支路以上（含城市支路）市政道路、小区级以上公共服务配套设施和生态控制线的，应予以标注。</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旧屋村范围图还应对其用途与效力进行说明：</w:t>
      </w:r>
      <w:r w:rsidRPr="00744608">
        <w:rPr>
          <w:rFonts w:ascii="Arial" w:eastAsia="微软雅黑" w:hAnsi="Arial" w:cs="Arial"/>
          <w:color w:val="444444"/>
          <w:kern w:val="0"/>
          <w:szCs w:val="18"/>
        </w:rPr>
        <w:t>“</w:t>
      </w:r>
      <w:r w:rsidRPr="00744608">
        <w:rPr>
          <w:rFonts w:ascii="Arial" w:eastAsia="微软雅黑" w:hAnsi="Arial" w:cs="Arial"/>
          <w:color w:val="444444"/>
          <w:kern w:val="0"/>
          <w:szCs w:val="18"/>
        </w:rPr>
        <w:t>本范围图属对市政府《关于发布〈深圳市宝安、龙岗区规划、国土管理暂行办法〉的通知》（深府</w:t>
      </w:r>
      <w:r w:rsidRPr="00744608">
        <w:rPr>
          <w:rFonts w:ascii="Arial" w:eastAsia="微软雅黑" w:hAnsi="Arial" w:cs="Arial"/>
          <w:color w:val="444444"/>
          <w:kern w:val="0"/>
          <w:szCs w:val="18"/>
        </w:rPr>
        <w:t>[1993]283</w:t>
      </w:r>
      <w:r w:rsidRPr="00744608">
        <w:rPr>
          <w:rFonts w:ascii="Arial" w:eastAsia="微软雅黑" w:hAnsi="Arial" w:cs="Arial"/>
          <w:color w:val="444444"/>
          <w:kern w:val="0"/>
          <w:szCs w:val="18"/>
        </w:rPr>
        <w:t>号）实施前已经形</w:t>
      </w:r>
      <w:r w:rsidRPr="00744608">
        <w:rPr>
          <w:rFonts w:ascii="Arial" w:eastAsia="微软雅黑" w:hAnsi="Arial" w:cs="Arial"/>
          <w:color w:val="444444"/>
          <w:kern w:val="0"/>
          <w:szCs w:val="18"/>
        </w:rPr>
        <w:lastRenderedPageBreak/>
        <w:t>成的旧屋村范围的认定，仅作为拆除重建类城市更新项目地价计收的依据。如旧屋村所属的城市更新项目不再实施，本范围图不作为土地及建筑物权属的认定依据，不影响城市规划的实施。</w:t>
      </w:r>
      <w:r w:rsidRPr="00744608">
        <w:rPr>
          <w:rFonts w:ascii="Arial" w:eastAsia="微软雅黑" w:hAnsi="Arial" w:cs="Arial"/>
          <w:color w:val="444444"/>
          <w:kern w:val="0"/>
          <w:szCs w:val="18"/>
        </w:rPr>
        <w:t>”</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第六条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旧屋村范围认定材料的提供者应保证相关材料的真实性，对因提供虚假材料导致的后果承担一切责任。</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相关主管部门及其工作人员在旧屋村范围认定工作中有违法违纪违规行为，构成犯罪的，依法追究刑事责任；不构成犯罪的，依法给予行政处分或问责。</w:t>
      </w:r>
    </w:p>
    <w:p w:rsidR="00744608" w:rsidRPr="00744608" w:rsidRDefault="00744608" w:rsidP="00744608">
      <w:pPr>
        <w:widowControl/>
        <w:shd w:val="clear" w:color="auto" w:fill="FFFFFF"/>
        <w:spacing w:line="360" w:lineRule="atLeast"/>
        <w:jc w:val="left"/>
        <w:rPr>
          <w:rFonts w:ascii="Arial" w:eastAsia="微软雅黑" w:hAnsi="Arial" w:cs="Arial"/>
          <w:color w:val="444444"/>
          <w:kern w:val="0"/>
          <w:szCs w:val="18"/>
        </w:rPr>
      </w:pPr>
      <w:r w:rsidRPr="00744608">
        <w:rPr>
          <w:rFonts w:ascii="Arial" w:eastAsia="微软雅黑" w:hAnsi="Arial" w:cs="Arial"/>
          <w:color w:val="444444"/>
          <w:kern w:val="0"/>
          <w:szCs w:val="18"/>
        </w:rPr>
        <w:t xml:space="preserve">　　第七条</w:t>
      </w:r>
      <w:r w:rsidRPr="00744608">
        <w:rPr>
          <w:rFonts w:ascii="Arial" w:eastAsia="微软雅黑" w:hAnsi="Arial" w:cs="Arial"/>
          <w:color w:val="444444"/>
          <w:kern w:val="0"/>
          <w:szCs w:val="18"/>
        </w:rPr>
        <w:t xml:space="preserve"> </w:t>
      </w:r>
      <w:r w:rsidRPr="00744608">
        <w:rPr>
          <w:rFonts w:ascii="Arial" w:eastAsia="微软雅黑" w:hAnsi="Arial" w:cs="Arial"/>
          <w:color w:val="444444"/>
          <w:kern w:val="0"/>
          <w:szCs w:val="18"/>
        </w:rPr>
        <w:t>本办法自发布之日起试行。</w:t>
      </w:r>
    </w:p>
    <w:p w:rsidR="00CA6150" w:rsidRPr="00744608" w:rsidRDefault="00CA6150" w:rsidP="00744608">
      <w:pPr>
        <w:rPr>
          <w:sz w:val="24"/>
        </w:rPr>
      </w:pPr>
    </w:p>
    <w:sectPr w:rsidR="00CA6150" w:rsidRPr="00744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08"/>
    <w:rsid w:val="00744608"/>
    <w:rsid w:val="00CA6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A7FBA-8AAD-4BAB-9628-AC89A9E0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4">
    <w:name w:val="heading 4"/>
    <w:basedOn w:val="a"/>
    <w:link w:val="40"/>
    <w:uiPriority w:val="9"/>
    <w:qFormat/>
    <w:rsid w:val="00744608"/>
    <w:pPr>
      <w:widowControl/>
      <w:spacing w:before="100" w:beforeAutospacing="1" w:after="100" w:afterAutospacing="1"/>
      <w:jc w:val="left"/>
      <w:outlineLvl w:val="3"/>
    </w:pPr>
    <w:rPr>
      <w:rFonts w:ascii="宋体" w:eastAsia="宋体" w:hAnsi="宋体" w:cs="宋体"/>
      <w:b/>
      <w:bCs/>
      <w:kern w:val="0"/>
      <w:sz w:val="24"/>
      <w:szCs w:val="24"/>
    </w:rPr>
  </w:style>
  <w:style w:type="paragraph" w:styleId="6">
    <w:name w:val="heading 6"/>
    <w:basedOn w:val="a"/>
    <w:link w:val="60"/>
    <w:uiPriority w:val="9"/>
    <w:qFormat/>
    <w:rsid w:val="00744608"/>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744608"/>
    <w:pPr>
      <w:widowControl/>
      <w:spacing w:before="100" w:beforeAutospacing="1" w:after="100" w:afterAutospacing="1"/>
      <w:jc w:val="left"/>
    </w:pPr>
    <w:rPr>
      <w:rFonts w:ascii="宋体" w:eastAsia="宋体" w:hAnsi="宋体" w:cs="宋体"/>
      <w:kern w:val="0"/>
      <w:sz w:val="24"/>
      <w:szCs w:val="24"/>
    </w:rPr>
  </w:style>
  <w:style w:type="character" w:customStyle="1" w:styleId="40">
    <w:name w:val="标题 4 字符"/>
    <w:basedOn w:val="a0"/>
    <w:link w:val="4"/>
    <w:uiPriority w:val="9"/>
    <w:rsid w:val="00744608"/>
    <w:rPr>
      <w:rFonts w:ascii="宋体" w:eastAsia="宋体" w:hAnsi="宋体" w:cs="宋体"/>
      <w:b/>
      <w:bCs/>
      <w:kern w:val="0"/>
      <w:sz w:val="24"/>
      <w:szCs w:val="24"/>
    </w:rPr>
  </w:style>
  <w:style w:type="character" w:customStyle="1" w:styleId="60">
    <w:name w:val="标题 6 字符"/>
    <w:basedOn w:val="a0"/>
    <w:link w:val="6"/>
    <w:uiPriority w:val="9"/>
    <w:rsid w:val="00744608"/>
    <w:rPr>
      <w:rFonts w:ascii="宋体" w:eastAsia="宋体" w:hAnsi="宋体" w:cs="宋体"/>
      <w:b/>
      <w:bCs/>
      <w:kern w:val="0"/>
      <w:sz w:val="15"/>
      <w:szCs w:val="15"/>
    </w:rPr>
  </w:style>
  <w:style w:type="character" w:styleId="a3">
    <w:name w:val="Strong"/>
    <w:basedOn w:val="a0"/>
    <w:uiPriority w:val="22"/>
    <w:qFormat/>
    <w:rsid w:val="00744608"/>
    <w:rPr>
      <w:b/>
      <w:bCs/>
    </w:rPr>
  </w:style>
  <w:style w:type="paragraph" w:styleId="a4">
    <w:name w:val="Normal (Web)"/>
    <w:basedOn w:val="a"/>
    <w:uiPriority w:val="99"/>
    <w:semiHidden/>
    <w:unhideWhenUsed/>
    <w:rsid w:val="007446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9216">
      <w:bodyDiv w:val="1"/>
      <w:marLeft w:val="0"/>
      <w:marRight w:val="0"/>
      <w:marTop w:val="0"/>
      <w:marBottom w:val="0"/>
      <w:divBdr>
        <w:top w:val="none" w:sz="0" w:space="0" w:color="auto"/>
        <w:left w:val="none" w:sz="0" w:space="0" w:color="auto"/>
        <w:bottom w:val="none" w:sz="0" w:space="0" w:color="auto"/>
        <w:right w:val="none" w:sz="0" w:space="0" w:color="auto"/>
      </w:divBdr>
      <w:divsChild>
        <w:div w:id="12446">
          <w:marLeft w:val="0"/>
          <w:marRight w:val="0"/>
          <w:marTop w:val="0"/>
          <w:marBottom w:val="90"/>
          <w:divBdr>
            <w:top w:val="single" w:sz="6" w:space="0" w:color="D3D3D3"/>
            <w:left w:val="single" w:sz="6" w:space="0" w:color="D3D3D3"/>
            <w:bottom w:val="single" w:sz="6" w:space="0" w:color="D3D3D3"/>
            <w:right w:val="single" w:sz="6" w:space="0" w:color="D3D3D3"/>
          </w:divBdr>
          <w:divsChild>
            <w:div w:id="1780031587">
              <w:marLeft w:val="75"/>
              <w:marRight w:val="75"/>
              <w:marTop w:val="0"/>
              <w:marBottom w:val="0"/>
              <w:divBdr>
                <w:top w:val="none" w:sz="0" w:space="0" w:color="auto"/>
                <w:left w:val="none" w:sz="0" w:space="0" w:color="auto"/>
                <w:bottom w:val="none" w:sz="0" w:space="0" w:color="auto"/>
                <w:right w:val="none" w:sz="0" w:space="0" w:color="auto"/>
              </w:divBdr>
              <w:divsChild>
                <w:div w:id="493035952">
                  <w:marLeft w:val="0"/>
                  <w:marRight w:val="0"/>
                  <w:marTop w:val="0"/>
                  <w:marBottom w:val="0"/>
                  <w:divBdr>
                    <w:top w:val="none" w:sz="0" w:space="0" w:color="auto"/>
                    <w:left w:val="none" w:sz="0" w:space="0" w:color="auto"/>
                    <w:bottom w:val="none" w:sz="0" w:space="0" w:color="auto"/>
                    <w:right w:val="none" w:sz="0" w:space="0" w:color="auto"/>
                  </w:divBdr>
                  <w:divsChild>
                    <w:div w:id="1636063883">
                      <w:marLeft w:val="0"/>
                      <w:marRight w:val="0"/>
                      <w:marTop w:val="0"/>
                      <w:marBottom w:val="0"/>
                      <w:divBdr>
                        <w:top w:val="none" w:sz="0" w:space="0" w:color="auto"/>
                        <w:left w:val="none" w:sz="0" w:space="0" w:color="auto"/>
                        <w:bottom w:val="none" w:sz="0" w:space="0" w:color="auto"/>
                        <w:right w:val="none" w:sz="0" w:space="0" w:color="auto"/>
                      </w:divBdr>
                      <w:divsChild>
                        <w:div w:id="215897630">
                          <w:marLeft w:val="0"/>
                          <w:marRight w:val="0"/>
                          <w:marTop w:val="0"/>
                          <w:marBottom w:val="0"/>
                          <w:divBdr>
                            <w:top w:val="none" w:sz="0" w:space="0" w:color="auto"/>
                            <w:left w:val="none" w:sz="0" w:space="0" w:color="auto"/>
                            <w:bottom w:val="none" w:sz="0" w:space="0" w:color="auto"/>
                            <w:right w:val="none" w:sz="0" w:space="0" w:color="auto"/>
                          </w:divBdr>
                          <w:divsChild>
                            <w:div w:id="492454643">
                              <w:marLeft w:val="0"/>
                              <w:marRight w:val="0"/>
                              <w:marTop w:val="0"/>
                              <w:marBottom w:val="0"/>
                              <w:divBdr>
                                <w:top w:val="none" w:sz="0" w:space="0" w:color="auto"/>
                                <w:left w:val="none" w:sz="0" w:space="0" w:color="auto"/>
                                <w:bottom w:val="none" w:sz="0" w:space="0" w:color="auto"/>
                                <w:right w:val="none" w:sz="0" w:space="0" w:color="auto"/>
                              </w:divBdr>
                              <w:divsChild>
                                <w:div w:id="1220246020">
                                  <w:marLeft w:val="0"/>
                                  <w:marRight w:val="0"/>
                                  <w:marTop w:val="0"/>
                                  <w:marBottom w:val="0"/>
                                  <w:divBdr>
                                    <w:top w:val="none" w:sz="0" w:space="0" w:color="auto"/>
                                    <w:left w:val="none" w:sz="0" w:space="0" w:color="auto"/>
                                    <w:bottom w:val="none" w:sz="0" w:space="0" w:color="auto"/>
                                    <w:right w:val="none" w:sz="0" w:space="0" w:color="auto"/>
                                  </w:divBdr>
                                  <w:divsChild>
                                    <w:div w:id="6587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18096">
          <w:marLeft w:val="0"/>
          <w:marRight w:val="0"/>
          <w:marTop w:val="0"/>
          <w:marBottom w:val="90"/>
          <w:divBdr>
            <w:top w:val="single" w:sz="6" w:space="0" w:color="DEDEDE"/>
            <w:left w:val="single" w:sz="6" w:space="0" w:color="DEDEDE"/>
            <w:bottom w:val="single" w:sz="6" w:space="0" w:color="DEDEDE"/>
            <w:right w:val="single" w:sz="6" w:space="0" w:color="DEDEDE"/>
          </w:divBdr>
          <w:divsChild>
            <w:div w:id="2001690172">
              <w:marLeft w:val="0"/>
              <w:marRight w:val="0"/>
              <w:marTop w:val="0"/>
              <w:marBottom w:val="0"/>
              <w:divBdr>
                <w:top w:val="none" w:sz="0" w:space="0" w:color="auto"/>
                <w:left w:val="none" w:sz="0" w:space="0" w:color="auto"/>
                <w:bottom w:val="none" w:sz="0" w:space="0" w:color="auto"/>
                <w:right w:val="none" w:sz="0" w:space="0" w:color="auto"/>
              </w:divBdr>
              <w:divsChild>
                <w:div w:id="10777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1779">
          <w:marLeft w:val="0"/>
          <w:marRight w:val="0"/>
          <w:marTop w:val="0"/>
          <w:marBottom w:val="90"/>
          <w:divBdr>
            <w:top w:val="single" w:sz="6" w:space="0" w:color="D3D3D3"/>
            <w:left w:val="single" w:sz="6" w:space="0" w:color="D3D3D3"/>
            <w:bottom w:val="single" w:sz="6" w:space="0" w:color="D3D3D3"/>
            <w:right w:val="single" w:sz="6" w:space="0" w:color="D3D3D3"/>
          </w:divBdr>
          <w:divsChild>
            <w:div w:id="1457061890">
              <w:marLeft w:val="75"/>
              <w:marRight w:val="75"/>
              <w:marTop w:val="0"/>
              <w:marBottom w:val="0"/>
              <w:divBdr>
                <w:top w:val="none" w:sz="0" w:space="0" w:color="auto"/>
                <w:left w:val="none" w:sz="0" w:space="0" w:color="auto"/>
                <w:bottom w:val="none" w:sz="0" w:space="0" w:color="auto"/>
                <w:right w:val="none" w:sz="0" w:space="0" w:color="auto"/>
              </w:divBdr>
              <w:divsChild>
                <w:div w:id="1909341597">
                  <w:marLeft w:val="0"/>
                  <w:marRight w:val="0"/>
                  <w:marTop w:val="0"/>
                  <w:marBottom w:val="0"/>
                  <w:divBdr>
                    <w:top w:val="none" w:sz="0" w:space="0" w:color="auto"/>
                    <w:left w:val="none" w:sz="0" w:space="0" w:color="auto"/>
                    <w:bottom w:val="none" w:sz="0" w:space="0" w:color="auto"/>
                    <w:right w:val="none" w:sz="0" w:space="0" w:color="auto"/>
                  </w:divBdr>
                  <w:divsChild>
                    <w:div w:id="810248889">
                      <w:marLeft w:val="0"/>
                      <w:marRight w:val="0"/>
                      <w:marTop w:val="0"/>
                      <w:marBottom w:val="0"/>
                      <w:divBdr>
                        <w:top w:val="none" w:sz="0" w:space="0" w:color="auto"/>
                        <w:left w:val="none" w:sz="0" w:space="0" w:color="auto"/>
                        <w:bottom w:val="none" w:sz="0" w:space="0" w:color="auto"/>
                        <w:right w:val="none" w:sz="0" w:space="0" w:color="auto"/>
                      </w:divBdr>
                      <w:divsChild>
                        <w:div w:id="1124690482">
                          <w:marLeft w:val="0"/>
                          <w:marRight w:val="0"/>
                          <w:marTop w:val="0"/>
                          <w:marBottom w:val="0"/>
                          <w:divBdr>
                            <w:top w:val="none" w:sz="0" w:space="0" w:color="auto"/>
                            <w:left w:val="none" w:sz="0" w:space="0" w:color="auto"/>
                            <w:bottom w:val="none" w:sz="0" w:space="0" w:color="auto"/>
                            <w:right w:val="none" w:sz="0" w:space="0" w:color="auto"/>
                          </w:divBdr>
                          <w:divsChild>
                            <w:div w:id="53050135">
                              <w:marLeft w:val="0"/>
                              <w:marRight w:val="0"/>
                              <w:marTop w:val="0"/>
                              <w:marBottom w:val="0"/>
                              <w:divBdr>
                                <w:top w:val="none" w:sz="0" w:space="0" w:color="auto"/>
                                <w:left w:val="none" w:sz="0" w:space="0" w:color="auto"/>
                                <w:bottom w:val="none" w:sz="0" w:space="0" w:color="auto"/>
                                <w:right w:val="none" w:sz="0" w:space="0" w:color="auto"/>
                              </w:divBdr>
                              <w:divsChild>
                                <w:div w:id="1917084325">
                                  <w:marLeft w:val="0"/>
                                  <w:marRight w:val="0"/>
                                  <w:marTop w:val="0"/>
                                  <w:marBottom w:val="0"/>
                                  <w:divBdr>
                                    <w:top w:val="none" w:sz="0" w:space="0" w:color="auto"/>
                                    <w:left w:val="none" w:sz="0" w:space="0" w:color="auto"/>
                                    <w:bottom w:val="none" w:sz="0" w:space="0" w:color="auto"/>
                                    <w:right w:val="none" w:sz="0" w:space="0" w:color="auto"/>
                                  </w:divBdr>
                                  <w:divsChild>
                                    <w:div w:id="167831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03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980</Words>
  <Characters>1168</Characters>
  <Application>Microsoft Office Word</Application>
  <DocSecurity>0</DocSecurity>
  <Lines>48</Lines>
  <Paragraphs>48</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2018-03-29T02:22:00Z</dcterms:created>
  <dcterms:modified xsi:type="dcterms:W3CDTF">2018-03-29T02:25:00Z</dcterms:modified>
</cp:coreProperties>
</file>